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CF" w:rsidRPr="00772CCF" w:rsidRDefault="006060CF" w:rsidP="006060CF">
      <w:pPr>
        <w:pStyle w:val="1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60CF" w:rsidRPr="00772CCF" w:rsidTr="00772CCF">
        <w:tblPrEx>
          <w:tblCellMar>
            <w:top w:w="0" w:type="dxa"/>
            <w:bottom w:w="0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jc w:val="center"/>
            </w:pPr>
            <w:r w:rsidRPr="00772CCF">
              <w:t>Гетьман-Павлова Ирина Викторовна</w:t>
            </w:r>
          </w:p>
        </w:tc>
      </w:tr>
    </w:tbl>
    <w:p w:rsidR="006060CF" w:rsidRPr="00772CCF" w:rsidRDefault="006060CF" w:rsidP="006060CF">
      <w:pPr>
        <w:pStyle w:val="1"/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60CF" w:rsidRPr="00772CCF" w:rsidTr="00772CCF">
        <w:tblPrEx>
          <w:tblCellMar>
            <w:top w:w="0" w:type="dxa"/>
            <w:bottom w:w="0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jc w:val="center"/>
            </w:pPr>
            <w:r w:rsidRPr="00772CCF">
              <w:t>Факультет права, кафедра международного частного права</w:t>
            </w:r>
          </w:p>
        </w:tc>
      </w:tr>
    </w:tbl>
    <w:p w:rsidR="006060CF" w:rsidRPr="00772CCF" w:rsidRDefault="006060CF" w:rsidP="006060CF">
      <w:pPr>
        <w:pStyle w:val="1"/>
        <w:spacing w:after="0"/>
        <w:rPr>
          <w:b/>
        </w:rPr>
      </w:pPr>
    </w:p>
    <w:p w:rsidR="006060CF" w:rsidRPr="00772CCF" w:rsidRDefault="006060CF" w:rsidP="006060CF">
      <w:pPr>
        <w:pStyle w:val="1"/>
        <w:spacing w:after="0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60CF" w:rsidRPr="00772CCF" w:rsidTr="00772CCF">
        <w:tblPrEx>
          <w:tblCellMar>
            <w:top w:w="0" w:type="dxa"/>
            <w:bottom w:w="0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jc w:val="center"/>
            </w:pPr>
            <w:r w:rsidRPr="00772CCF">
              <w:t>Библиотека тестов «Наука международного частного права: история и с</w:t>
            </w:r>
            <w:r w:rsidRPr="00772CCF">
              <w:t>о</w:t>
            </w:r>
            <w:r w:rsidRPr="00772CCF">
              <w:t>временность»</w:t>
            </w:r>
          </w:p>
        </w:tc>
      </w:tr>
    </w:tbl>
    <w:p w:rsidR="006060CF" w:rsidRPr="00772CCF" w:rsidRDefault="006060CF" w:rsidP="006060CF">
      <w:pPr>
        <w:pStyle w:val="1"/>
        <w:spacing w:after="0"/>
      </w:pPr>
    </w:p>
    <w:p w:rsidR="006060CF" w:rsidRPr="00772CCF" w:rsidRDefault="006060CF" w:rsidP="006060CF">
      <w:pPr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60CF" w:rsidRPr="00772CCF" w:rsidTr="00772CCF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  <w:u w:val="single"/>
              </w:rPr>
            </w:pPr>
            <w:r w:rsidRPr="00772CCF">
              <w:rPr>
                <w:b w:val="0"/>
                <w:i/>
                <w:szCs w:val="24"/>
                <w:u w:val="single"/>
              </w:rPr>
              <w:t xml:space="preserve">Целью проекта является </w:t>
            </w:r>
            <w:r w:rsidRPr="00772CCF">
              <w:rPr>
                <w:b w:val="0"/>
                <w:szCs w:val="24"/>
                <w:u w:val="single"/>
              </w:rPr>
              <w:t>создание библиотеки тестов в LMS.</w:t>
            </w: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</w:p>
          <w:p w:rsidR="006060CF" w:rsidRPr="00772CCF" w:rsidRDefault="006060CF" w:rsidP="001001E9">
            <w:pPr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Основная идея – применение теоретических познаний в практических ситуациях. О</w:t>
            </w:r>
            <w:r w:rsidRPr="00772CCF">
              <w:rPr>
                <w:sz w:val="24"/>
                <w:lang w:val="ru-RU"/>
              </w:rPr>
              <w:t xml:space="preserve">бщая идея и цель – </w:t>
            </w:r>
            <w:r w:rsidRPr="00772CCF">
              <w:rPr>
                <w:sz w:val="24"/>
                <w:szCs w:val="24"/>
                <w:lang w:val="ru-RU"/>
              </w:rPr>
              <w:t>оптимизация подготовки студентов к семинарским занятиям</w:t>
            </w:r>
            <w:r w:rsidRPr="00772CCF">
              <w:rPr>
                <w:szCs w:val="26"/>
                <w:lang w:val="ru-RU"/>
              </w:rPr>
              <w:t xml:space="preserve"> </w:t>
            </w:r>
            <w:r w:rsidRPr="00772CCF">
              <w:rPr>
                <w:sz w:val="24"/>
                <w:szCs w:val="24"/>
                <w:lang w:val="ru-RU"/>
              </w:rPr>
              <w:t>по курсу «Наука международного частного права»; з</w:t>
            </w:r>
            <w:r w:rsidRPr="00772CCF">
              <w:rPr>
                <w:sz w:val="24"/>
                <w:szCs w:val="24"/>
                <w:lang w:val="ru-RU"/>
              </w:rPr>
              <w:t>а</w:t>
            </w:r>
            <w:r w:rsidRPr="00772CCF">
              <w:rPr>
                <w:sz w:val="24"/>
                <w:szCs w:val="24"/>
                <w:lang w:val="ru-RU"/>
              </w:rPr>
              <w:t>крепление знаний, полученных на лекции; практическое применение этих знаний в конкретных с</w:t>
            </w:r>
            <w:r w:rsidRPr="00772CCF">
              <w:rPr>
                <w:sz w:val="24"/>
                <w:szCs w:val="24"/>
                <w:lang w:val="ru-RU"/>
              </w:rPr>
              <w:t>и</w:t>
            </w:r>
            <w:r w:rsidRPr="00772CCF">
              <w:rPr>
                <w:sz w:val="24"/>
                <w:szCs w:val="24"/>
                <w:lang w:val="ru-RU"/>
              </w:rPr>
              <w:t>туациях; углубленное освоение студентами курса специализации. Тесты составлены таким образом, что для их решения об</w:t>
            </w:r>
            <w:r w:rsidRPr="00772CCF">
              <w:rPr>
                <w:sz w:val="24"/>
                <w:szCs w:val="24"/>
                <w:lang w:val="ru-RU"/>
              </w:rPr>
              <w:t>я</w:t>
            </w:r>
            <w:r w:rsidRPr="00772CCF">
              <w:rPr>
                <w:sz w:val="24"/>
                <w:szCs w:val="24"/>
                <w:lang w:val="ru-RU"/>
              </w:rPr>
              <w:t>зательно внимательное изучение основной учебной литературы. Следует также обращать внимание на предыдущий и последующий тесты. «Подсказка» может н</w:t>
            </w:r>
            <w:r w:rsidRPr="00772CCF">
              <w:rPr>
                <w:sz w:val="24"/>
                <w:szCs w:val="24"/>
                <w:lang w:val="ru-RU"/>
              </w:rPr>
              <w:t>а</w:t>
            </w:r>
            <w:r w:rsidRPr="00772CCF">
              <w:rPr>
                <w:sz w:val="24"/>
                <w:szCs w:val="24"/>
                <w:lang w:val="ru-RU"/>
              </w:rPr>
              <w:t>ходиться именно в них. При этом «правильность» ответа в значительном количестве тестовых заданий зависит от того концепт</w:t>
            </w:r>
            <w:r w:rsidRPr="00772CCF">
              <w:rPr>
                <w:sz w:val="24"/>
                <w:szCs w:val="24"/>
                <w:lang w:val="ru-RU"/>
              </w:rPr>
              <w:t>у</w:t>
            </w:r>
            <w:r w:rsidRPr="00772CCF">
              <w:rPr>
                <w:sz w:val="24"/>
                <w:szCs w:val="24"/>
                <w:lang w:val="ru-RU"/>
              </w:rPr>
              <w:t>ального подхода к изучаемым проблемам, позиции которого наиболее близки студенту.</w:t>
            </w: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i/>
                <w:szCs w:val="24"/>
              </w:rPr>
            </w:pP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  <w:szCs w:val="24"/>
              </w:rPr>
            </w:pPr>
            <w:r w:rsidRPr="00772CCF">
              <w:rPr>
                <w:b w:val="0"/>
                <w:i/>
                <w:szCs w:val="24"/>
              </w:rPr>
              <w:t>Задачи проекта:</w:t>
            </w:r>
            <w:r w:rsidRPr="00772CCF">
              <w:rPr>
                <w:b w:val="0"/>
                <w:szCs w:val="24"/>
              </w:rPr>
              <w:t xml:space="preserve"> оптимизировать процесс подготовки студентов к семина</w:t>
            </w:r>
            <w:r w:rsidRPr="00772CCF">
              <w:rPr>
                <w:b w:val="0"/>
                <w:szCs w:val="24"/>
              </w:rPr>
              <w:t>р</w:t>
            </w:r>
            <w:r w:rsidRPr="00772CCF">
              <w:rPr>
                <w:b w:val="0"/>
                <w:szCs w:val="24"/>
              </w:rPr>
              <w:t>ским занятиям и к сдаче зачета по курсу «Наука международного частного права». Оптимизация подготовки к студентов к семинарским занятиям является приор</w:t>
            </w:r>
            <w:r w:rsidRPr="00772CCF">
              <w:rPr>
                <w:b w:val="0"/>
                <w:szCs w:val="24"/>
              </w:rPr>
              <w:t>и</w:t>
            </w:r>
            <w:r w:rsidRPr="00772CCF">
              <w:rPr>
                <w:b w:val="0"/>
                <w:szCs w:val="24"/>
              </w:rPr>
              <w:t>тетной задачей проекта.</w:t>
            </w: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  <w:szCs w:val="24"/>
              </w:rPr>
            </w:pP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  <w:szCs w:val="24"/>
              </w:rPr>
            </w:pPr>
            <w:r w:rsidRPr="00772CCF">
              <w:rPr>
                <w:b w:val="0"/>
                <w:szCs w:val="24"/>
              </w:rPr>
              <w:t>Использование библиотеки тестов в LMS позволяет четко формулировать «домашнее задание» и легко проверять его выполнение. Поскольку пр</w:t>
            </w:r>
            <w:r w:rsidRPr="00772CCF">
              <w:rPr>
                <w:b w:val="0"/>
                <w:szCs w:val="24"/>
              </w:rPr>
              <w:t>о</w:t>
            </w:r>
            <w:r w:rsidRPr="00772CCF">
              <w:rPr>
                <w:b w:val="0"/>
                <w:szCs w:val="24"/>
              </w:rPr>
              <w:t>хождение тестирования включается в учебный план, выполнение которого является безу</w:t>
            </w:r>
            <w:r w:rsidRPr="00772CCF">
              <w:rPr>
                <w:b w:val="0"/>
                <w:szCs w:val="24"/>
              </w:rPr>
              <w:t>с</w:t>
            </w:r>
            <w:r w:rsidRPr="00772CCF">
              <w:rPr>
                <w:b w:val="0"/>
                <w:szCs w:val="24"/>
              </w:rPr>
              <w:t>ловной обязанностью студента, прохождение тестирования также приобретает характер безусловно обязательного задания. Практика использования библиотеки тестов LMS по другим дисциплинам показывает, что все студенты выполн</w:t>
            </w:r>
            <w:r w:rsidRPr="00772CCF">
              <w:rPr>
                <w:b w:val="0"/>
                <w:szCs w:val="24"/>
              </w:rPr>
              <w:t>я</w:t>
            </w:r>
            <w:r w:rsidRPr="00772CCF">
              <w:rPr>
                <w:b w:val="0"/>
                <w:szCs w:val="24"/>
              </w:rPr>
              <w:t>ют такое задание, более того, для них задания подобного рода являются более интересными, чем «традиционная» форма домашней работы. Студенты входят «во вкус», перестают обращать вн</w:t>
            </w:r>
            <w:r w:rsidRPr="00772CCF">
              <w:rPr>
                <w:b w:val="0"/>
                <w:szCs w:val="24"/>
              </w:rPr>
              <w:t>и</w:t>
            </w:r>
            <w:r w:rsidRPr="00772CCF">
              <w:rPr>
                <w:b w:val="0"/>
                <w:szCs w:val="24"/>
              </w:rPr>
              <w:t>мание на время и работают в системе до достижения 100% правильно р</w:t>
            </w:r>
            <w:r w:rsidRPr="00772CCF">
              <w:rPr>
                <w:b w:val="0"/>
                <w:szCs w:val="24"/>
              </w:rPr>
              <w:t>е</w:t>
            </w:r>
            <w:r w:rsidRPr="00772CCF">
              <w:rPr>
                <w:b w:val="0"/>
                <w:szCs w:val="24"/>
              </w:rPr>
              <w:t>зультата.</w:t>
            </w: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firstLine="0"/>
              <w:rPr>
                <w:b w:val="0"/>
                <w:szCs w:val="24"/>
              </w:rPr>
            </w:pPr>
          </w:p>
        </w:tc>
      </w:tr>
    </w:tbl>
    <w:p w:rsidR="006060CF" w:rsidRPr="00772CCF" w:rsidRDefault="006060CF" w:rsidP="006060CF">
      <w:pPr>
        <w:rPr>
          <w:sz w:val="22"/>
          <w:szCs w:val="22"/>
          <w:lang w:val="ru-RU"/>
        </w:rPr>
      </w:pPr>
    </w:p>
    <w:p w:rsidR="006060CF" w:rsidRPr="00772CCF" w:rsidRDefault="006060CF" w:rsidP="006060CF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60CF" w:rsidRPr="00772CCF" w:rsidTr="00772CCF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772CCF">
              <w:rPr>
                <w:b w:val="0"/>
                <w:szCs w:val="24"/>
              </w:rPr>
              <w:t xml:space="preserve"> </w:t>
            </w:r>
          </w:p>
          <w:p w:rsidR="006060CF" w:rsidRPr="00772CCF" w:rsidRDefault="006060CF" w:rsidP="001001E9">
            <w:pPr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Курс «Наука международного частного права: история и современность» читается на 4 курсе факультета права (40 ле</w:t>
            </w:r>
            <w:r w:rsidRPr="00772CCF">
              <w:rPr>
                <w:sz w:val="24"/>
                <w:szCs w:val="24"/>
                <w:lang w:val="ru-RU"/>
              </w:rPr>
              <w:t>к</w:t>
            </w:r>
            <w:r w:rsidRPr="00772CCF">
              <w:rPr>
                <w:sz w:val="24"/>
                <w:szCs w:val="24"/>
                <w:lang w:val="ru-RU"/>
              </w:rPr>
              <w:t>ционных часов). Как правило, этот курс по выбору посещают студенты двух специализаций – кафедры международн</w:t>
            </w:r>
            <w:r w:rsidRPr="00772CCF">
              <w:rPr>
                <w:sz w:val="24"/>
                <w:szCs w:val="24"/>
                <w:lang w:val="ru-RU"/>
              </w:rPr>
              <w:t>о</w:t>
            </w:r>
            <w:r w:rsidRPr="00772CCF">
              <w:rPr>
                <w:sz w:val="24"/>
                <w:szCs w:val="24"/>
                <w:lang w:val="ru-RU"/>
              </w:rPr>
              <w:t xml:space="preserve">го частного и международного публичного права (в среднем порядка 40 – 45 чел.). </w:t>
            </w: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</w:p>
        </w:tc>
      </w:tr>
    </w:tbl>
    <w:p w:rsidR="006060CF" w:rsidRPr="00772CCF" w:rsidRDefault="006060CF" w:rsidP="006060CF">
      <w:pPr>
        <w:pStyle w:val="FR2"/>
        <w:spacing w:before="0"/>
        <w:ind w:left="0"/>
        <w:rPr>
          <w:sz w:val="24"/>
        </w:rPr>
      </w:pPr>
    </w:p>
    <w:p w:rsidR="006060CF" w:rsidRPr="00772CCF" w:rsidRDefault="006060CF" w:rsidP="006060CF">
      <w:pPr>
        <w:pStyle w:val="FR2"/>
        <w:spacing w:before="0"/>
        <w:ind w:left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60CF" w:rsidRPr="00772CCF" w:rsidTr="00772CCF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Комплект тестовых заданий (45 тестов), разработанных на основе доктринал</w:t>
            </w:r>
            <w:r w:rsidRPr="00772CCF">
              <w:rPr>
                <w:sz w:val="24"/>
                <w:szCs w:val="24"/>
                <w:lang w:val="ru-RU"/>
              </w:rPr>
              <w:t>ь</w:t>
            </w:r>
            <w:r w:rsidRPr="00772CCF">
              <w:rPr>
                <w:sz w:val="24"/>
                <w:szCs w:val="24"/>
                <w:lang w:val="ru-RU"/>
              </w:rPr>
              <w:t>ных источников по курсу «Наука международного частного права» и предназначенных для компьютерного тестирования. В каждом тесте предлагается 5 вариантов ответа; правильным является только один. При р</w:t>
            </w:r>
            <w:r w:rsidRPr="00772CCF">
              <w:rPr>
                <w:sz w:val="24"/>
                <w:szCs w:val="24"/>
                <w:lang w:val="ru-RU"/>
              </w:rPr>
              <w:t>е</w:t>
            </w:r>
            <w:r w:rsidRPr="00772CCF">
              <w:rPr>
                <w:sz w:val="24"/>
                <w:szCs w:val="24"/>
                <w:lang w:val="ru-RU"/>
              </w:rPr>
              <w:t>шении тестов студент пользуется лекционными и другими учебными и доктринальными материалами, указанными в программе курса. Тесты размещаются в си</w:t>
            </w:r>
            <w:r w:rsidRPr="00772CCF">
              <w:rPr>
                <w:sz w:val="24"/>
                <w:szCs w:val="24"/>
                <w:lang w:val="ru-RU"/>
              </w:rPr>
              <w:t>с</w:t>
            </w:r>
            <w:r w:rsidRPr="00772CCF">
              <w:rPr>
                <w:sz w:val="24"/>
                <w:szCs w:val="24"/>
                <w:lang w:val="ru-RU"/>
              </w:rPr>
              <w:t xml:space="preserve">теме </w:t>
            </w:r>
            <w:r w:rsidRPr="00772CCF">
              <w:rPr>
                <w:sz w:val="24"/>
                <w:szCs w:val="24"/>
              </w:rPr>
              <w:t>LMS</w:t>
            </w:r>
            <w:r w:rsidRPr="00772CCF">
              <w:rPr>
                <w:sz w:val="24"/>
                <w:szCs w:val="24"/>
                <w:lang w:val="ru-RU"/>
              </w:rPr>
              <w:t>. Время пребывания в системе не ограничено, при этом студентам дается 3 попытки для решения теста. Опции системы позволяют студенту видеть правильные и неправильные решения. Третья попытка – это окончательный ответ, который обсуждается на с</w:t>
            </w:r>
            <w:r w:rsidRPr="00772CCF">
              <w:rPr>
                <w:sz w:val="24"/>
                <w:szCs w:val="24"/>
                <w:lang w:val="ru-RU"/>
              </w:rPr>
              <w:t>е</w:t>
            </w:r>
            <w:r w:rsidRPr="00772CCF">
              <w:rPr>
                <w:sz w:val="24"/>
                <w:szCs w:val="24"/>
                <w:lang w:val="ru-RU"/>
              </w:rPr>
              <w:t>минаре.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Образец разрабатываемой методики:</w:t>
            </w:r>
          </w:p>
          <w:p w:rsidR="006060CF" w:rsidRPr="00772CCF" w:rsidRDefault="006060CF" w:rsidP="001001E9">
            <w:pPr>
              <w:pStyle w:val="2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772CCF">
              <w:rPr>
                <w:b w:val="0"/>
                <w:sz w:val="24"/>
                <w:szCs w:val="24"/>
              </w:rPr>
              <w:t>Тест № 1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Родоначальниками науки МЧП считаются: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А) итальянские постглоссаторы;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Б) французские легисты;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В) итальянские канонисты;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Г) голландские статутарии;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Д) российские марксисты.</w:t>
            </w:r>
          </w:p>
          <w:p w:rsidR="006060CF" w:rsidRPr="00772CCF" w:rsidRDefault="006060CF" w:rsidP="001001E9">
            <w:pPr>
              <w:pStyle w:val="2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772CCF">
              <w:rPr>
                <w:b w:val="0"/>
                <w:sz w:val="24"/>
                <w:szCs w:val="24"/>
              </w:rPr>
              <w:t>Тест № 2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Основоположником теории статутов является: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А) Бартоло де Сассоферрато;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Б) Альберик де Рошате;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В) Александр Дюма;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Г) П.И. Чайковский;</w:t>
            </w:r>
          </w:p>
          <w:p w:rsidR="006060CF" w:rsidRPr="00772CCF" w:rsidRDefault="006060CF" w:rsidP="001001E9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 xml:space="preserve">Д) Курт Воннегут. 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Порядок оценивания самостоятельной работы студентов предполагает к</w:t>
            </w:r>
            <w:r w:rsidRPr="00772CCF">
              <w:rPr>
                <w:sz w:val="24"/>
                <w:szCs w:val="24"/>
                <w:lang w:val="ru-RU"/>
              </w:rPr>
              <w:t>у</w:t>
            </w:r>
            <w:r w:rsidRPr="00772CCF">
              <w:rPr>
                <w:sz w:val="24"/>
                <w:szCs w:val="24"/>
                <w:lang w:val="ru-RU"/>
              </w:rPr>
              <w:t>мулятивную оценку. Кумулятивная оценка включает в себя механическую и творческую оце</w:t>
            </w:r>
            <w:r w:rsidRPr="00772CCF">
              <w:rPr>
                <w:sz w:val="24"/>
                <w:szCs w:val="24"/>
                <w:lang w:val="ru-RU"/>
              </w:rPr>
              <w:t>н</w:t>
            </w:r>
            <w:r w:rsidRPr="00772CCF">
              <w:rPr>
                <w:sz w:val="24"/>
                <w:szCs w:val="24"/>
                <w:lang w:val="ru-RU"/>
              </w:rPr>
              <w:t>ки.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 xml:space="preserve"> «Механическая» оценка – только по количеству правильных ответов. Выставляется после 3 попыток самостоятельного решения тестов. Крит</w:t>
            </w:r>
            <w:r w:rsidRPr="00772CCF">
              <w:rPr>
                <w:sz w:val="24"/>
                <w:szCs w:val="24"/>
                <w:lang w:val="ru-RU"/>
              </w:rPr>
              <w:t>е</w:t>
            </w:r>
            <w:r w:rsidRPr="00772CCF">
              <w:rPr>
                <w:sz w:val="24"/>
                <w:szCs w:val="24"/>
                <w:lang w:val="ru-RU"/>
              </w:rPr>
              <w:t>рии оценки: менее 10 тестов – 1 балл; 10-12 тестов – 2 балла; 13-16 тестов – 3 балла; 17-20 тестов – 4 балла; 20-25 тестов – 5 баллов; 26-30 тестов – 6 ба</w:t>
            </w:r>
            <w:r w:rsidRPr="00772CCF">
              <w:rPr>
                <w:sz w:val="24"/>
                <w:szCs w:val="24"/>
                <w:lang w:val="ru-RU"/>
              </w:rPr>
              <w:t>л</w:t>
            </w:r>
            <w:r w:rsidRPr="00772CCF">
              <w:rPr>
                <w:sz w:val="24"/>
                <w:szCs w:val="24"/>
                <w:lang w:val="ru-RU"/>
              </w:rPr>
              <w:t>лов; 31-36 тестов – 7 баллов; 37-39 тестов – 8 баллов; 40-42 тестов – 9 ба</w:t>
            </w:r>
            <w:r w:rsidRPr="00772CCF">
              <w:rPr>
                <w:sz w:val="24"/>
                <w:szCs w:val="24"/>
                <w:lang w:val="ru-RU"/>
              </w:rPr>
              <w:t>л</w:t>
            </w:r>
            <w:r w:rsidRPr="00772CCF">
              <w:rPr>
                <w:sz w:val="24"/>
                <w:szCs w:val="24"/>
                <w:lang w:val="ru-RU"/>
              </w:rPr>
              <w:t>лов; 43-45 тестов – 10 баллов.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«Творческая» оценка – студент объясняет ход решения и аргументирует предложенное решение. Аргументация должна быть построена с обяз</w:t>
            </w:r>
            <w:r w:rsidRPr="00772CCF">
              <w:rPr>
                <w:sz w:val="24"/>
                <w:szCs w:val="24"/>
                <w:lang w:val="ru-RU"/>
              </w:rPr>
              <w:t>а</w:t>
            </w:r>
            <w:r w:rsidRPr="00772CCF">
              <w:rPr>
                <w:sz w:val="24"/>
                <w:szCs w:val="24"/>
                <w:lang w:val="ru-RU"/>
              </w:rPr>
              <w:t>тельным указанием использованных нормативных и доктринальных источников; необходимо подтвердить свою позицию концепциями других а</w:t>
            </w:r>
            <w:r w:rsidRPr="00772CCF">
              <w:rPr>
                <w:sz w:val="24"/>
                <w:szCs w:val="24"/>
                <w:lang w:val="ru-RU"/>
              </w:rPr>
              <w:t>в</w:t>
            </w:r>
            <w:r w:rsidRPr="00772CCF">
              <w:rPr>
                <w:sz w:val="24"/>
                <w:szCs w:val="24"/>
                <w:lang w:val="ru-RU"/>
              </w:rPr>
              <w:t>торов. Критерии оценки: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Неспособность привести какие-либо аргументы – 1-2 балла.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Аргументация выстроена неправильно, отсутствует ее логическое обосн</w:t>
            </w:r>
            <w:r w:rsidRPr="00772CCF">
              <w:rPr>
                <w:sz w:val="24"/>
                <w:szCs w:val="24"/>
                <w:lang w:val="ru-RU"/>
              </w:rPr>
              <w:t>о</w:t>
            </w:r>
            <w:r w:rsidRPr="00772CCF">
              <w:rPr>
                <w:sz w:val="24"/>
                <w:szCs w:val="24"/>
                <w:lang w:val="ru-RU"/>
              </w:rPr>
              <w:t xml:space="preserve">вание – 3 балла. 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Аргументация в целом выстроена правильно, однако отсутствует ее лог</w:t>
            </w:r>
            <w:r w:rsidRPr="00772CCF">
              <w:rPr>
                <w:sz w:val="24"/>
                <w:szCs w:val="24"/>
                <w:lang w:val="ru-RU"/>
              </w:rPr>
              <w:t>и</w:t>
            </w:r>
            <w:r w:rsidRPr="00772CCF">
              <w:rPr>
                <w:sz w:val="24"/>
                <w:szCs w:val="24"/>
                <w:lang w:val="ru-RU"/>
              </w:rPr>
              <w:t xml:space="preserve">ческое обоснование – 4-5 баллов. 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lastRenderedPageBreak/>
              <w:t>Аргументация в целом выстроена правильно, но существует ряд серьезных д</w:t>
            </w:r>
            <w:r w:rsidRPr="00772CCF">
              <w:rPr>
                <w:sz w:val="24"/>
                <w:szCs w:val="24"/>
                <w:lang w:val="ru-RU"/>
              </w:rPr>
              <w:t>е</w:t>
            </w:r>
            <w:r w:rsidRPr="00772CCF">
              <w:rPr>
                <w:sz w:val="24"/>
                <w:szCs w:val="24"/>
                <w:lang w:val="ru-RU"/>
              </w:rPr>
              <w:t xml:space="preserve">фектов в ее логическом обосновании – 6 баллов. 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Аргументация грамотно выстроена, однако присутствуют отдельные д</w:t>
            </w:r>
            <w:r w:rsidRPr="00772CCF">
              <w:rPr>
                <w:sz w:val="24"/>
                <w:szCs w:val="24"/>
                <w:lang w:val="ru-RU"/>
              </w:rPr>
              <w:t>е</w:t>
            </w:r>
            <w:r w:rsidRPr="00772CCF">
              <w:rPr>
                <w:sz w:val="24"/>
                <w:szCs w:val="24"/>
                <w:lang w:val="ru-RU"/>
              </w:rPr>
              <w:t>фекты логики – 7 баллов.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Аргументация грамотно выстроена и логически прочно обоснована – 8 баллов.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Аргументация грамотно выстроена, основана на нормативных актах и логич</w:t>
            </w:r>
            <w:r w:rsidRPr="00772CCF">
              <w:rPr>
                <w:sz w:val="24"/>
                <w:szCs w:val="24"/>
                <w:lang w:val="ru-RU"/>
              </w:rPr>
              <w:t>е</w:t>
            </w:r>
            <w:r w:rsidRPr="00772CCF">
              <w:rPr>
                <w:sz w:val="24"/>
                <w:szCs w:val="24"/>
                <w:lang w:val="ru-RU"/>
              </w:rPr>
              <w:t>ски прочно обоснована – 9 баллов.</w:t>
            </w:r>
          </w:p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Аргументация грамотно выстроена, основана на нормативных актах, с</w:t>
            </w:r>
            <w:r w:rsidRPr="00772CCF">
              <w:rPr>
                <w:sz w:val="24"/>
                <w:szCs w:val="24"/>
                <w:lang w:val="ru-RU"/>
              </w:rPr>
              <w:t>у</w:t>
            </w:r>
            <w:r w:rsidRPr="00772CCF">
              <w:rPr>
                <w:sz w:val="24"/>
                <w:szCs w:val="24"/>
                <w:lang w:val="ru-RU"/>
              </w:rPr>
              <w:t>дебной практике и доктрине, логически прочно обоснована – 10 баллов.</w:t>
            </w:r>
          </w:p>
          <w:p w:rsidR="006060CF" w:rsidRPr="00772CCF" w:rsidRDefault="006060CF" w:rsidP="001001E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772CCF">
              <w:rPr>
                <w:b w:val="0"/>
                <w:szCs w:val="24"/>
              </w:rPr>
              <w:t>Взаимодействие студента с преподавателем осуществляется путем испол</w:t>
            </w:r>
            <w:r w:rsidRPr="00772CCF">
              <w:rPr>
                <w:b w:val="0"/>
                <w:szCs w:val="24"/>
              </w:rPr>
              <w:t>ь</w:t>
            </w:r>
            <w:r w:rsidRPr="00772CCF">
              <w:rPr>
                <w:b w:val="0"/>
                <w:szCs w:val="24"/>
              </w:rPr>
              <w:t>зования опций системы LMS. Преподаватель имеет возможность, зайдя в систему, увидеть, кто и как справился с заданием. Студенты имеют во</w:t>
            </w:r>
            <w:r w:rsidRPr="00772CCF">
              <w:rPr>
                <w:b w:val="0"/>
                <w:szCs w:val="24"/>
              </w:rPr>
              <w:t>з</w:t>
            </w:r>
            <w:r w:rsidRPr="00772CCF">
              <w:rPr>
                <w:b w:val="0"/>
                <w:szCs w:val="24"/>
              </w:rPr>
              <w:t>можность задавать преподавателю интересующие их вопросы.</w:t>
            </w: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</w:p>
        </w:tc>
      </w:tr>
    </w:tbl>
    <w:p w:rsidR="006060CF" w:rsidRPr="00772CCF" w:rsidRDefault="006060CF" w:rsidP="006060CF">
      <w:pPr>
        <w:pStyle w:val="2"/>
        <w:spacing w:after="0"/>
        <w:ind w:firstLine="0"/>
      </w:pPr>
    </w:p>
    <w:p w:rsidR="006060CF" w:rsidRPr="00772CCF" w:rsidRDefault="006060CF" w:rsidP="006060CF">
      <w:pPr>
        <w:jc w:val="both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60CF" w:rsidRPr="00772CCF" w:rsidTr="00772CCF">
        <w:tblPrEx>
          <w:tblCellMar>
            <w:top w:w="0" w:type="dxa"/>
            <w:bottom w:w="0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060CF" w:rsidRPr="00772CCF" w:rsidRDefault="006060CF" w:rsidP="001001E9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  <w:r w:rsidRPr="00772CCF">
              <w:rPr>
                <w:sz w:val="24"/>
                <w:szCs w:val="24"/>
                <w:lang w:val="ru-RU"/>
              </w:rPr>
              <w:t>Основной ожидаемый результат – использование тестир</w:t>
            </w:r>
            <w:r w:rsidRPr="00772CCF">
              <w:rPr>
                <w:sz w:val="24"/>
                <w:szCs w:val="24"/>
                <w:lang w:val="ru-RU"/>
              </w:rPr>
              <w:t>о</w:t>
            </w:r>
            <w:r w:rsidRPr="00772CCF">
              <w:rPr>
                <w:sz w:val="24"/>
                <w:szCs w:val="24"/>
                <w:lang w:val="ru-RU"/>
              </w:rPr>
              <w:t xml:space="preserve">вания в системе </w:t>
            </w:r>
            <w:r w:rsidRPr="00772CCF">
              <w:rPr>
                <w:sz w:val="24"/>
                <w:szCs w:val="24"/>
              </w:rPr>
              <w:t>LMS</w:t>
            </w:r>
            <w:r w:rsidRPr="00772CCF">
              <w:rPr>
                <w:sz w:val="24"/>
                <w:szCs w:val="24"/>
                <w:lang w:val="ru-RU"/>
              </w:rPr>
              <w:t xml:space="preserve"> призвано научить студентов применять их теоретические знания на практике; облегчить контроль за выполнением студентами «домашних заданий»; проверить качество усвоения ими учебной дисциплины; оптим</w:t>
            </w:r>
            <w:r w:rsidRPr="00772CCF">
              <w:rPr>
                <w:sz w:val="24"/>
                <w:szCs w:val="24"/>
                <w:lang w:val="ru-RU"/>
              </w:rPr>
              <w:t>и</w:t>
            </w:r>
            <w:r w:rsidRPr="00772CCF">
              <w:rPr>
                <w:sz w:val="24"/>
                <w:szCs w:val="24"/>
                <w:lang w:val="ru-RU"/>
              </w:rPr>
              <w:t xml:space="preserve">зировать подготовку к зачету и прием зачета. Кроме того, использование системы </w:t>
            </w:r>
            <w:r w:rsidRPr="00772CCF">
              <w:rPr>
                <w:sz w:val="24"/>
                <w:szCs w:val="24"/>
              </w:rPr>
              <w:t>LMS</w:t>
            </w:r>
            <w:r w:rsidRPr="00772CCF">
              <w:rPr>
                <w:sz w:val="24"/>
                <w:szCs w:val="24"/>
                <w:lang w:val="ru-RU"/>
              </w:rPr>
              <w:t xml:space="preserve"> повышает мотивацию студентов для выполнения домашних зад</w:t>
            </w:r>
            <w:r w:rsidRPr="00772CCF">
              <w:rPr>
                <w:sz w:val="24"/>
                <w:szCs w:val="24"/>
                <w:lang w:val="ru-RU"/>
              </w:rPr>
              <w:t>а</w:t>
            </w:r>
            <w:r w:rsidRPr="00772CCF">
              <w:rPr>
                <w:sz w:val="24"/>
                <w:szCs w:val="24"/>
                <w:lang w:val="ru-RU"/>
              </w:rPr>
              <w:t>ний.</w:t>
            </w:r>
          </w:p>
          <w:p w:rsidR="006060CF" w:rsidRPr="00772CCF" w:rsidRDefault="006060CF" w:rsidP="001001E9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</w:p>
        </w:tc>
      </w:tr>
    </w:tbl>
    <w:p w:rsidR="006060CF" w:rsidRPr="00772CCF" w:rsidRDefault="006060CF" w:rsidP="006060CF">
      <w:pPr>
        <w:pStyle w:val="1"/>
        <w:spacing w:after="0"/>
        <w:rPr>
          <w:i/>
        </w:rPr>
      </w:pPr>
    </w:p>
    <w:sectPr w:rsidR="006060CF" w:rsidRPr="00772CC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81" w:rsidRDefault="00ED4281" w:rsidP="006060CF">
      <w:r>
        <w:separator/>
      </w:r>
    </w:p>
  </w:endnote>
  <w:endnote w:type="continuationSeparator" w:id="0">
    <w:p w:rsidR="00ED4281" w:rsidRDefault="00ED4281" w:rsidP="0060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B9" w:rsidRDefault="00ED4281" w:rsidP="005876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AB9" w:rsidRDefault="00ED4281" w:rsidP="005876B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B9" w:rsidRDefault="00ED4281" w:rsidP="005876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CCF">
      <w:rPr>
        <w:rStyle w:val="a7"/>
        <w:noProof/>
      </w:rPr>
      <w:t>2</w:t>
    </w:r>
    <w:r>
      <w:rPr>
        <w:rStyle w:val="a7"/>
      </w:rPr>
      <w:fldChar w:fldCharType="end"/>
    </w:r>
  </w:p>
  <w:p w:rsidR="00035AB9" w:rsidRDefault="00ED4281" w:rsidP="005876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81" w:rsidRDefault="00ED4281" w:rsidP="006060CF">
      <w:r>
        <w:separator/>
      </w:r>
    </w:p>
  </w:footnote>
  <w:footnote w:type="continuationSeparator" w:id="0">
    <w:p w:rsidR="00ED4281" w:rsidRDefault="00ED4281" w:rsidP="0060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B9" w:rsidRPr="003715A2" w:rsidRDefault="00ED4281" w:rsidP="005876B7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1138"/>
    <w:multiLevelType w:val="hybridMultilevel"/>
    <w:tmpl w:val="71B0F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CF"/>
    <w:rsid w:val="006060CF"/>
    <w:rsid w:val="00772CCF"/>
    <w:rsid w:val="00BB75BA"/>
    <w:rsid w:val="00E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060CF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6060CF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0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60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6060CF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6060CF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606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60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606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60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6060CF"/>
  </w:style>
  <w:style w:type="paragraph" w:styleId="a8">
    <w:name w:val="footnote text"/>
    <w:basedOn w:val="a"/>
    <w:link w:val="a9"/>
    <w:semiHidden/>
    <w:rsid w:val="006060CF"/>
  </w:style>
  <w:style w:type="character" w:customStyle="1" w:styleId="a9">
    <w:name w:val="Текст сноски Знак"/>
    <w:basedOn w:val="a0"/>
    <w:link w:val="a8"/>
    <w:semiHidden/>
    <w:rsid w:val="006060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semiHidden/>
    <w:rsid w:val="006060CF"/>
    <w:rPr>
      <w:vertAlign w:val="superscript"/>
    </w:rPr>
  </w:style>
  <w:style w:type="paragraph" w:styleId="21">
    <w:name w:val="Body Text 2"/>
    <w:basedOn w:val="a"/>
    <w:link w:val="22"/>
    <w:rsid w:val="006060CF"/>
    <w:pPr>
      <w:jc w:val="center"/>
    </w:pPr>
    <w:rPr>
      <w:b/>
      <w:sz w:val="28"/>
      <w:u w:val="single"/>
      <w:lang w:val="ru-RU"/>
    </w:rPr>
  </w:style>
  <w:style w:type="character" w:customStyle="1" w:styleId="22">
    <w:name w:val="Основной текст 2 Знак"/>
    <w:basedOn w:val="a0"/>
    <w:link w:val="21"/>
    <w:rsid w:val="006060C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060CF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6060CF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0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60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6060CF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6060CF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606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60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606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60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6060CF"/>
  </w:style>
  <w:style w:type="paragraph" w:styleId="a8">
    <w:name w:val="footnote text"/>
    <w:basedOn w:val="a"/>
    <w:link w:val="a9"/>
    <w:semiHidden/>
    <w:rsid w:val="006060CF"/>
  </w:style>
  <w:style w:type="character" w:customStyle="1" w:styleId="a9">
    <w:name w:val="Текст сноски Знак"/>
    <w:basedOn w:val="a0"/>
    <w:link w:val="a8"/>
    <w:semiHidden/>
    <w:rsid w:val="006060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semiHidden/>
    <w:rsid w:val="006060CF"/>
    <w:rPr>
      <w:vertAlign w:val="superscript"/>
    </w:rPr>
  </w:style>
  <w:style w:type="paragraph" w:styleId="21">
    <w:name w:val="Body Text 2"/>
    <w:basedOn w:val="a"/>
    <w:link w:val="22"/>
    <w:rsid w:val="006060CF"/>
    <w:pPr>
      <w:jc w:val="center"/>
    </w:pPr>
    <w:rPr>
      <w:b/>
      <w:sz w:val="28"/>
      <w:u w:val="single"/>
      <w:lang w:val="ru-RU"/>
    </w:rPr>
  </w:style>
  <w:style w:type="character" w:customStyle="1" w:styleId="22">
    <w:name w:val="Основной текст 2 Знак"/>
    <w:basedOn w:val="a0"/>
    <w:link w:val="21"/>
    <w:rsid w:val="006060C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2012-03-06T12:17:00Z</dcterms:created>
  <dcterms:modified xsi:type="dcterms:W3CDTF">2012-03-06T12:55:00Z</dcterms:modified>
</cp:coreProperties>
</file>