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8261"/>
      </w:tblGrid>
      <w:tr w:rsidR="00F438B4" w:rsidRPr="00CE1BF1" w:rsidTr="00F438B4">
        <w:tc>
          <w:tcPr>
            <w:tcW w:w="2230" w:type="dxa"/>
            <w:vAlign w:val="center"/>
          </w:tcPr>
          <w:p w:rsidR="00F438B4" w:rsidRPr="008B2EDC" w:rsidRDefault="00F438B4" w:rsidP="00BC69DD">
            <w:pPr>
              <w:jc w:val="center"/>
              <w:rPr>
                <w:lang w:val="ru-RU"/>
              </w:rPr>
            </w:pPr>
            <w:bookmarkStart w:id="0" w:name="OLE_LINK1"/>
            <w:bookmarkStart w:id="1" w:name="OLE_LINK2"/>
            <w:r w:rsidRPr="008B2EDC">
              <w:rPr>
                <w:noProof/>
                <w:lang w:val="ru-RU" w:eastAsia="ru-RU" w:bidi="ar-SA"/>
              </w:rPr>
              <w:drawing>
                <wp:inline distT="0" distB="0" distL="0" distR="0" wp14:anchorId="11C817D0" wp14:editId="44463984">
                  <wp:extent cx="1201615" cy="1201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situt-sm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17" cy="120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1" w:type="dxa"/>
          </w:tcPr>
          <w:p w:rsidR="00470C3B" w:rsidRPr="00470C3B" w:rsidRDefault="00470C3B" w:rsidP="00470C3B">
            <w:pPr>
              <w:pStyle w:val="4"/>
              <w:pBdr>
                <w:bottom w:val="single" w:sz="4" w:space="1" w:color="622423" w:themeColor="accent2" w:themeShade="7F"/>
              </w:pBdr>
              <w:jc w:val="left"/>
              <w:outlineLvl w:val="3"/>
              <w:rPr>
                <w:lang w:val="ru-RU"/>
              </w:rPr>
            </w:pPr>
            <w:r>
              <w:rPr>
                <w:lang w:val="ru-RU"/>
              </w:rPr>
              <w:t>Приложение 2. СИЛЛАБУС НИС, 1</w:t>
            </w:r>
            <w:proofErr w:type="gramStart"/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2 модули, 1 год</w:t>
            </w:r>
          </w:p>
          <w:p w:rsidR="00470C3B" w:rsidRPr="00470C3B" w:rsidRDefault="00470C3B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</w:p>
          <w:p w:rsidR="00F438B4" w:rsidRPr="00CD0D3B" w:rsidRDefault="00F438B4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  <w:r w:rsidRPr="008B2EDC">
              <w:rPr>
                <w:lang w:val="ru-RU"/>
              </w:rPr>
              <w:t>Институт образования</w:t>
            </w:r>
            <w:r w:rsidR="00F34030">
              <w:rPr>
                <w:lang w:val="ru-RU"/>
              </w:rPr>
              <w:t xml:space="preserve"> </w:t>
            </w:r>
            <w:r w:rsidRPr="00C73006">
              <w:rPr>
                <w:lang w:val="ru-RU"/>
              </w:rPr>
              <w:t>НИУ ВШЭ</w:t>
            </w:r>
          </w:p>
          <w:p w:rsidR="00081329" w:rsidRDefault="00F438B4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  <w:r>
              <w:rPr>
                <w:lang w:val="ru-RU"/>
              </w:rPr>
              <w:t>НАУЧНО-ИССЛЕДОВАТЕЛЬСКИЙ С</w:t>
            </w:r>
            <w:r w:rsidR="00C73006">
              <w:rPr>
                <w:lang w:val="ru-RU"/>
              </w:rPr>
              <w:t xml:space="preserve">ЕМИНАР ПРОГРАММЫ </w:t>
            </w:r>
            <w:proofErr w:type="gramStart"/>
            <w:r w:rsidR="00C73006">
              <w:rPr>
                <w:lang w:val="ru-RU"/>
              </w:rPr>
              <w:t>доп</w:t>
            </w:r>
            <w:proofErr w:type="gramEnd"/>
          </w:p>
          <w:p w:rsidR="00F438B4" w:rsidRDefault="00C73006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  <w:r>
              <w:rPr>
                <w:lang w:val="ru-RU"/>
              </w:rPr>
              <w:t xml:space="preserve"> (1 семестр</w:t>
            </w:r>
            <w:r w:rsidR="00081329">
              <w:rPr>
                <w:lang w:val="ru-RU"/>
              </w:rPr>
              <w:t xml:space="preserve"> 1 курс</w:t>
            </w:r>
            <w:r w:rsidR="00F438B4">
              <w:rPr>
                <w:lang w:val="ru-RU"/>
              </w:rPr>
              <w:t>)</w:t>
            </w:r>
          </w:p>
          <w:p w:rsidR="00F438B4" w:rsidRDefault="00F438B4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  <w:r>
              <w:rPr>
                <w:lang w:val="ru-RU"/>
              </w:rPr>
              <w:t xml:space="preserve">Сергей И.Заир-бек, </w:t>
            </w:r>
            <w:hyperlink r:id="rId7" w:history="1">
              <w:r w:rsidRPr="00C73006">
                <w:rPr>
                  <w:lang w:val="ru-RU"/>
                </w:rPr>
                <w:t>szair</w:t>
              </w:r>
              <w:r w:rsidRPr="00CE1BF1">
                <w:rPr>
                  <w:lang w:val="ru-RU"/>
                </w:rPr>
                <w:t>-</w:t>
              </w:r>
              <w:r w:rsidRPr="00C73006">
                <w:rPr>
                  <w:lang w:val="ru-RU"/>
                </w:rPr>
                <w:t>bek</w:t>
              </w:r>
              <w:r w:rsidRPr="00CE1BF1">
                <w:rPr>
                  <w:lang w:val="ru-RU"/>
                </w:rPr>
                <w:t>@</w:t>
              </w:r>
              <w:r w:rsidRPr="00C73006">
                <w:rPr>
                  <w:lang w:val="ru-RU"/>
                </w:rPr>
                <w:t>hse</w:t>
              </w:r>
              <w:r w:rsidRPr="00CE1BF1">
                <w:rPr>
                  <w:lang w:val="ru-RU"/>
                </w:rPr>
                <w:t>.</w:t>
              </w:r>
              <w:r w:rsidRPr="00C73006">
                <w:rPr>
                  <w:lang w:val="ru-RU"/>
                </w:rPr>
                <w:t>ru</w:t>
              </w:r>
            </w:hyperlink>
            <w:r>
              <w:rPr>
                <w:lang w:val="ru-RU"/>
              </w:rPr>
              <w:t>, консульт: чт. 1</w:t>
            </w:r>
            <w:r w:rsidRPr="00F438B4">
              <w:rPr>
                <w:lang w:val="ru-RU"/>
              </w:rPr>
              <w:t>2</w:t>
            </w:r>
            <w:r>
              <w:rPr>
                <w:lang w:val="ru-RU"/>
              </w:rPr>
              <w:t>.00-1</w:t>
            </w:r>
            <w:r w:rsidRPr="00F438B4">
              <w:rPr>
                <w:lang w:val="ru-RU"/>
              </w:rPr>
              <w:t>4</w:t>
            </w:r>
            <w:r>
              <w:rPr>
                <w:lang w:val="ru-RU"/>
              </w:rPr>
              <w:t xml:space="preserve">.00. офис </w:t>
            </w:r>
            <w:r w:rsidR="00CE1BF1">
              <w:rPr>
                <w:lang w:val="ru-RU"/>
              </w:rPr>
              <w:t>405</w:t>
            </w:r>
          </w:p>
          <w:p w:rsidR="00D51C17" w:rsidRPr="00D51C17" w:rsidRDefault="00D51C17" w:rsidP="00C73006">
            <w:pPr>
              <w:pStyle w:val="4"/>
              <w:pBdr>
                <w:bottom w:val="single" w:sz="4" w:space="1" w:color="622423" w:themeColor="accent2" w:themeShade="7F"/>
              </w:pBdr>
              <w:outlineLvl w:val="3"/>
              <w:rPr>
                <w:lang w:val="ru-RU"/>
              </w:rPr>
            </w:pPr>
            <w:r>
              <w:rPr>
                <w:lang w:val="ru-RU"/>
              </w:rPr>
              <w:t xml:space="preserve">ПЕТР САФРОНОВ,  </w:t>
            </w:r>
            <w:hyperlink r:id="rId8" w:history="1">
              <w:r w:rsidRPr="00C73006">
                <w:rPr>
                  <w:lang w:val="ru-RU"/>
                </w:rPr>
                <w:t>PSAFRONOV@HSE.RU</w:t>
              </w:r>
            </w:hyperlink>
            <w:r w:rsidRPr="00D51C17">
              <w:rPr>
                <w:lang w:val="ru-RU"/>
              </w:rPr>
              <w:t xml:space="preserve">, </w:t>
            </w:r>
            <w:r w:rsidR="00C73006">
              <w:rPr>
                <w:lang w:val="ru-RU"/>
              </w:rPr>
              <w:t>КОНСУЛЬТ: ПТ. 15.00-17.00, ОФИС 303</w:t>
            </w:r>
          </w:p>
        </w:tc>
      </w:tr>
      <w:bookmarkEnd w:id="0"/>
      <w:bookmarkEnd w:id="1"/>
    </w:tbl>
    <w:p w:rsidR="001F7ED4" w:rsidRPr="00D51C17" w:rsidRDefault="001F7ED4">
      <w:pPr>
        <w:rPr>
          <w:lang w:val="ru-RU"/>
        </w:rPr>
      </w:pPr>
    </w:p>
    <w:p w:rsidR="00F438B4" w:rsidRPr="00D72CA1" w:rsidRDefault="00F438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1. ЦЕЛИ: </w:t>
      </w:r>
    </w:p>
    <w:tbl>
      <w:tblPr>
        <w:tblStyle w:val="-2"/>
        <w:tblW w:w="5481" w:type="pct"/>
        <w:tblInd w:w="-885" w:type="dxa"/>
        <w:tblLook w:val="0420" w:firstRow="1" w:lastRow="0" w:firstColumn="0" w:lastColumn="0" w:noHBand="0" w:noVBand="1"/>
      </w:tblPr>
      <w:tblGrid>
        <w:gridCol w:w="4720"/>
        <w:gridCol w:w="5772"/>
      </w:tblGrid>
      <w:tr w:rsidR="00F438B4" w:rsidRPr="00D72CA1" w:rsidTr="00F4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20" w:type="dxa"/>
          </w:tcPr>
          <w:p w:rsidR="00F438B4" w:rsidRPr="00D72CA1" w:rsidRDefault="00F438B4" w:rsidP="00BC69DD">
            <w:pPr>
              <w:rPr>
                <w:rStyle w:val="a8"/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Цель</w:t>
            </w:r>
          </w:p>
        </w:tc>
        <w:tc>
          <w:tcPr>
            <w:tcW w:w="5771" w:type="dxa"/>
          </w:tcPr>
          <w:p w:rsidR="00F438B4" w:rsidRPr="00D72CA1" w:rsidRDefault="00F438B4" w:rsidP="00BC69DD">
            <w:pPr>
              <w:rPr>
                <w:rStyle w:val="a8"/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 xml:space="preserve">Чем проверяется </w:t>
            </w:r>
          </w:p>
        </w:tc>
      </w:tr>
      <w:tr w:rsidR="00F438B4" w:rsidRPr="00D72CA1" w:rsidTr="00F4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20" w:type="dxa"/>
          </w:tcPr>
          <w:p w:rsidR="00F438B4" w:rsidRPr="00D72CA1" w:rsidRDefault="00C73006" w:rsidP="00F438B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Сформировать навыки исследовательского</w:t>
            </w:r>
            <w:r w:rsidR="00F438B4" w:rsidRPr="00D72CA1">
              <w:rPr>
                <w:rFonts w:ascii="Times New Roman" w:hAnsi="Times New Roman" w:cs="Times New Roman"/>
                <w:lang w:val="ru-RU"/>
              </w:rPr>
              <w:t xml:space="preserve"> чтения и письма при работе с различными категориями научной и иных типов информации</w:t>
            </w:r>
          </w:p>
        </w:tc>
        <w:tc>
          <w:tcPr>
            <w:tcW w:w="5771" w:type="dxa"/>
          </w:tcPr>
          <w:p w:rsidR="00F438B4" w:rsidRPr="00D72CA1" w:rsidRDefault="006674A3" w:rsidP="00C73006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Практические задания</w:t>
            </w:r>
            <w:r w:rsidR="00C73006" w:rsidRPr="00D72CA1">
              <w:rPr>
                <w:rFonts w:ascii="Times New Roman" w:hAnsi="Times New Roman" w:cs="Times New Roman"/>
                <w:lang w:val="ru-RU"/>
              </w:rPr>
              <w:t xml:space="preserve">, итоговое эссе и его 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публичн</w:t>
            </w:r>
            <w:r w:rsidR="00C73006" w:rsidRPr="00D72CA1">
              <w:rPr>
                <w:rFonts w:ascii="Times New Roman" w:hAnsi="Times New Roman" w:cs="Times New Roman"/>
                <w:lang w:val="ru-RU"/>
              </w:rPr>
              <w:t>ая защита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438B4" w:rsidRPr="00D72CA1" w:rsidTr="00F43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20" w:type="dxa"/>
          </w:tcPr>
          <w:p w:rsidR="00F438B4" w:rsidRPr="00D72CA1" w:rsidRDefault="00F438B4" w:rsidP="00F438B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Овладеть умениями критического и творческого диалога, в том числе, в рамках различных видов дискуссий и полемики</w:t>
            </w:r>
          </w:p>
        </w:tc>
        <w:tc>
          <w:tcPr>
            <w:tcW w:w="5771" w:type="dxa"/>
          </w:tcPr>
          <w:p w:rsidR="00F438B4" w:rsidRPr="00D72CA1" w:rsidRDefault="00146E97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Аудиторные занятия</w:t>
            </w:r>
            <w:r w:rsidR="00C73006" w:rsidRPr="00D72CA1">
              <w:rPr>
                <w:rFonts w:ascii="Times New Roman" w:hAnsi="Times New Roman" w:cs="Times New Roman"/>
                <w:lang w:val="ru-RU"/>
              </w:rPr>
              <w:t>, защита итогового эссе</w:t>
            </w:r>
          </w:p>
        </w:tc>
      </w:tr>
      <w:tr w:rsidR="00F438B4" w:rsidRPr="00D72CA1" w:rsidTr="00F4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20" w:type="dxa"/>
          </w:tcPr>
          <w:p w:rsidR="00F438B4" w:rsidRPr="00D72CA1" w:rsidRDefault="00F438B4" w:rsidP="00F438B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Сформировать умения концентрированного рефлексивного исследования и публичного представления его результатов</w:t>
            </w:r>
          </w:p>
        </w:tc>
        <w:tc>
          <w:tcPr>
            <w:tcW w:w="5771" w:type="dxa"/>
          </w:tcPr>
          <w:p w:rsidR="00F438B4" w:rsidRPr="00D72CA1" w:rsidRDefault="00C73006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Итоговое эссе</w:t>
            </w:r>
            <w:r w:rsidR="006674A3" w:rsidRPr="00D72CA1">
              <w:rPr>
                <w:rFonts w:ascii="Times New Roman" w:hAnsi="Times New Roman" w:cs="Times New Roman"/>
                <w:lang w:val="ru-RU"/>
              </w:rPr>
              <w:t xml:space="preserve"> и его защита</w:t>
            </w:r>
          </w:p>
        </w:tc>
      </w:tr>
    </w:tbl>
    <w:p w:rsidR="00F438B4" w:rsidRPr="00D72CA1" w:rsidRDefault="00F438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8B4" w:rsidRPr="00D72CA1" w:rsidRDefault="00F438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2. ТЕМЫ:</w:t>
      </w:r>
    </w:p>
    <w:tbl>
      <w:tblPr>
        <w:tblStyle w:val="-2"/>
        <w:tblW w:w="5481" w:type="pct"/>
        <w:tblInd w:w="-885" w:type="dxa"/>
        <w:tblLook w:val="0420" w:firstRow="1" w:lastRow="0" w:firstColumn="0" w:lastColumn="0" w:noHBand="0" w:noVBand="1"/>
      </w:tblPr>
      <w:tblGrid>
        <w:gridCol w:w="1098"/>
        <w:gridCol w:w="3886"/>
        <w:gridCol w:w="5508"/>
      </w:tblGrid>
      <w:tr w:rsidR="00F438B4" w:rsidRPr="00D72CA1" w:rsidTr="0009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3" w:type="pct"/>
          </w:tcPr>
          <w:p w:rsidR="00F438B4" w:rsidRPr="00D72CA1" w:rsidRDefault="00F438B4" w:rsidP="00F438B4">
            <w:pPr>
              <w:ind w:left="34" w:hanging="34"/>
              <w:rPr>
                <w:rStyle w:val="a8"/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852" w:type="pct"/>
          </w:tcPr>
          <w:p w:rsidR="00F438B4" w:rsidRPr="00D72CA1" w:rsidRDefault="00F438B4" w:rsidP="00BC69DD">
            <w:pPr>
              <w:rPr>
                <w:rStyle w:val="a8"/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Тема занятия</w:t>
            </w:r>
          </w:p>
        </w:tc>
        <w:tc>
          <w:tcPr>
            <w:tcW w:w="2625" w:type="pct"/>
          </w:tcPr>
          <w:p w:rsidR="00F438B4" w:rsidRPr="00D72CA1" w:rsidRDefault="00F438B4" w:rsidP="00BC69DD">
            <w:pPr>
              <w:rPr>
                <w:rStyle w:val="a8"/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Что делать к занятию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523" w:type="pct"/>
          </w:tcPr>
          <w:p w:rsidR="00CE1BF1" w:rsidRPr="00D72CA1" w:rsidRDefault="00CE1BF1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Траектории собственного развития: оценка и понимание. Представление модуля, обсуждение целей и плана работы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Сформулировать ключевые слова о собственных профессиональных и образовательных планах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tcW w:w="523" w:type="pct"/>
          </w:tcPr>
          <w:p w:rsidR="00CE1BF1" w:rsidRPr="00D72CA1" w:rsidRDefault="00CE1BF1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Образование будущего: взгляд изнутри и извне (как оценивают будущее образования представители государственной власти, бизнеса и общества)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72CA1">
              <w:rPr>
                <w:rFonts w:ascii="Times New Roman" w:hAnsi="Times New Roman" w:cs="Times New Roman"/>
                <w:lang w:val="ru-RU"/>
              </w:rPr>
              <w:t>Представить 2-3 альтернативных прогноза будущего образования (в зависимости от философских концепций)</w:t>
            </w:r>
            <w:proofErr w:type="gramEnd"/>
          </w:p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Цели развития тысячелетия (доклад Всемирного банка </w:t>
            </w:r>
            <w:hyperlink r:id="rId9" w:history="1">
              <w:r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https://openknowledge.worldbank.org/handle/10986/16092</w:t>
              </w:r>
            </w:hyperlink>
            <w:r w:rsidRPr="00D72CA1">
              <w:rPr>
                <w:rFonts w:ascii="Times New Roman" w:hAnsi="Times New Roman" w:cs="Times New Roman"/>
                <w:lang w:val="ru-RU"/>
              </w:rPr>
              <w:t xml:space="preserve">) А также прогнозы: </w:t>
            </w:r>
            <w:hyperlink r:id="rId10" w:history="1">
              <w:r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http://www.edutainme.ru/post/obrazovanie-2025-prognoz-vshe-i-strelki/</w:t>
              </w:r>
            </w:hyperlink>
          </w:p>
          <w:p w:rsidR="00CE1BF1" w:rsidRPr="00D72CA1" w:rsidRDefault="00097015" w:rsidP="00D537EE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CE1BF1"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http://theoryandpractice.ru/posts/4063-kakim-budet-obrazovanie-v-2060-godu-prognoz-salmana-khana</w:t>
              </w:r>
            </w:hyperlink>
          </w:p>
          <w:p w:rsidR="00CE1BF1" w:rsidRPr="00D72CA1" w:rsidRDefault="00097015" w:rsidP="00D537EE">
            <w:pPr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CE1BF1"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http://expert.ru/russian_reporter/2013/34/shkola-zavtra-</w:t>
              </w:r>
              <w:r w:rsidR="00CE1BF1" w:rsidRPr="00D72CA1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nenuzhna/</w:t>
              </w:r>
            </w:hyperlink>
            <w:r w:rsidR="00CE1BF1"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lastRenderedPageBreak/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Причины и следствия: анализ (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декдарации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 xml:space="preserve"> и концепции в образовании). Различия </w:t>
            </w:r>
            <w:proofErr w:type="gramStart"/>
            <w:r w:rsidRPr="00D72CA1">
              <w:rPr>
                <w:rFonts w:ascii="Times New Roman" w:hAnsi="Times New Roman" w:cs="Times New Roman"/>
                <w:lang w:val="ru-RU"/>
              </w:rPr>
              <w:t>между</w:t>
            </w:r>
            <w:proofErr w:type="gramEnd"/>
            <w:r w:rsidRPr="00D72CA1">
              <w:rPr>
                <w:rFonts w:ascii="Times New Roman" w:hAnsi="Times New Roman" w:cs="Times New Roman"/>
                <w:lang w:val="ru-RU"/>
              </w:rPr>
              <w:t xml:space="preserve"> «что будет» и «что делать»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Прочитать доклад «Образование для всех» (Дакар)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Анализ подходов для лучшего будущего.</w:t>
            </w:r>
          </w:p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Декларации «Образование для устойчивого развития» (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Нагоя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>) и «Открытое образование» (Кейптаун)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Прочитать декларации, «Образование для устойчивого развития» (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Нагоя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>), «Открытое образование» (Кейптаун)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Цели и ценности: слагаемые для успеха. От системы к человеку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Прочитать книгу 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Л.Пантелева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 xml:space="preserve"> «Республика ШКИД»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Педагогика успеха (слагаемые технологии)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Найти и описать любой кейс, демонстрирующий «педагогику успеха» в действии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Успех без лидеров. Когда важнее команда (продолжение)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Сравнить две компании: </w:t>
            </w:r>
            <w:r w:rsidRPr="00D72CA1">
              <w:rPr>
                <w:rFonts w:ascii="Times New Roman" w:hAnsi="Times New Roman" w:cs="Times New Roman"/>
              </w:rPr>
              <w:t>Skype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(до момента ее присоединения к </w:t>
            </w:r>
            <w:r w:rsidRPr="00D72CA1">
              <w:rPr>
                <w:rFonts w:ascii="Times New Roman" w:hAnsi="Times New Roman" w:cs="Times New Roman"/>
              </w:rPr>
              <w:t>Microsoft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) и EMI 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Group</w:t>
            </w:r>
            <w:proofErr w:type="spellEnd"/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Сентябрь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2CA1">
              <w:rPr>
                <w:rFonts w:ascii="Times New Roman" w:hAnsi="Times New Roman" w:cs="Times New Roman"/>
              </w:rPr>
              <w:t>Одно</w:t>
            </w:r>
            <w:proofErr w:type="spellEnd"/>
            <w:r w:rsidRPr="00D72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D72C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CA1">
              <w:rPr>
                <w:rFonts w:ascii="Times New Roman" w:hAnsi="Times New Roman" w:cs="Times New Roman"/>
              </w:rPr>
              <w:t>разные</w:t>
            </w:r>
            <w:proofErr w:type="spellEnd"/>
            <w:r w:rsidRPr="00D72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cs="Times New Roman"/>
              </w:rPr>
              <w:t>взгляды</w:t>
            </w:r>
            <w:proofErr w:type="spellEnd"/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Собрать материалы о программе </w:t>
            </w:r>
            <w:r w:rsidRPr="00D72CA1">
              <w:rPr>
                <w:rFonts w:ascii="Times New Roman" w:hAnsi="Times New Roman" w:cs="Times New Roman"/>
              </w:rPr>
              <w:t>Teach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2CA1">
              <w:rPr>
                <w:rFonts w:ascii="Times New Roman" w:hAnsi="Times New Roman" w:cs="Times New Roman"/>
              </w:rPr>
              <w:t>for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2CA1">
              <w:rPr>
                <w:rFonts w:ascii="Times New Roman" w:hAnsi="Times New Roman" w:cs="Times New Roman"/>
              </w:rPr>
              <w:t>America</w:t>
            </w:r>
            <w:r w:rsidRPr="00D72CA1">
              <w:rPr>
                <w:rFonts w:ascii="Times New Roman" w:hAnsi="Times New Roman" w:cs="Times New Roman"/>
                <w:lang w:val="ru-RU"/>
              </w:rPr>
              <w:t>, подготовить ее описание</w:t>
            </w:r>
          </w:p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" w:history="1">
              <w:r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https://www.teachforamerica.org/</w:t>
              </w:r>
            </w:hyperlink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Октябрь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Разные взгляды для общего видения (продолжение).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CE1BF1" w:rsidRPr="00D72CA1" w:rsidRDefault="00097015" w:rsidP="00D537EE">
            <w:pPr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CE1BF1"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http://www.strana-oz.ru/2012/4/kak-nado-i-kak-ne-nado-uluchshat-nashi-shkoly</w:t>
              </w:r>
            </w:hyperlink>
          </w:p>
          <w:p w:rsidR="00CE1BF1" w:rsidRPr="00D72CA1" w:rsidRDefault="00097015" w:rsidP="00D537EE">
            <w:pPr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CE1BF1" w:rsidRPr="00D72CA1">
                <w:rPr>
                  <w:rStyle w:val="a3"/>
                  <w:rFonts w:ascii="Times New Roman" w:hAnsi="Times New Roman" w:cs="Times New Roman"/>
                  <w:lang w:val="ru-RU"/>
                </w:rPr>
                <w:t>http://www.strana-oz.ru/2012/4/shkoly-kotorym-mozhno-pozavidovat</w:t>
              </w:r>
            </w:hyperlink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Октябрь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Власть информации или как распознать 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фейк</w:t>
            </w:r>
            <w:proofErr w:type="spellEnd"/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 xml:space="preserve">Практическое парное задание 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Октябрь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Манипуляции аргументами или извилистые пути к истине 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Прочитать статью Александра Привалова «Образование погибло»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Октябрь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Дискуссии в сети: отличия письменных и устных дискуссий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>Парное практическое задание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Октябрь 2015 год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Намерения и реальность. Нормативный подход и реальная практика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Познакомиться с федеральным законом от 29.12.2012 №273-ФЗ «Об образовании в Российской Федерации»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Дуракоустойчивость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 xml:space="preserve">» документов: технология и практика 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>Групповое задание</w:t>
            </w:r>
          </w:p>
        </w:tc>
      </w:tr>
      <w:tr w:rsidR="00CE1BF1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Практика: плюсы и минусы отклонений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Сбор программных и проектных кейсов</w:t>
            </w:r>
          </w:p>
        </w:tc>
      </w:tr>
      <w:tr w:rsidR="00CE1BF1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CE1BF1" w:rsidRPr="00D72CA1" w:rsidRDefault="00CE1BF1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lastRenderedPageBreak/>
              <w:t xml:space="preserve">Октябрь </w:t>
            </w:r>
          </w:p>
        </w:tc>
        <w:tc>
          <w:tcPr>
            <w:tcW w:w="1852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Рефлексия или «как я провел лето»</w:t>
            </w:r>
          </w:p>
        </w:tc>
        <w:tc>
          <w:tcPr>
            <w:tcW w:w="2625" w:type="pct"/>
          </w:tcPr>
          <w:p w:rsidR="00CE1BF1" w:rsidRPr="00D72CA1" w:rsidRDefault="00CE1BF1" w:rsidP="00D537E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>Итоговая рефлексия</w:t>
            </w:r>
            <w:r w:rsidR="00097015">
              <w:rPr>
                <w:rFonts w:ascii="Times New Roman" w:hAnsi="Times New Roman" w:cs="Times New Roman"/>
                <w:b/>
                <w:lang w:val="ru-RU"/>
              </w:rPr>
              <w:t xml:space="preserve"> модуля</w:t>
            </w:r>
          </w:p>
        </w:tc>
      </w:tr>
      <w:tr w:rsidR="005626C4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C73006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Обсуждение плана работы на модуль</w:t>
            </w:r>
          </w:p>
        </w:tc>
        <w:tc>
          <w:tcPr>
            <w:tcW w:w="2625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Подготовить краткое выступление о ходе собственной исследовательской работы</w:t>
            </w:r>
          </w:p>
        </w:tc>
      </w:tr>
      <w:tr w:rsidR="005626C4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Фигура исследователя в социальных науках</w:t>
            </w:r>
          </w:p>
        </w:tc>
        <w:tc>
          <w:tcPr>
            <w:tcW w:w="2625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Читать 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МакКракена</w:t>
            </w:r>
            <w:proofErr w:type="spellEnd"/>
            <w:r w:rsidRPr="00D72CA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626C4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Концептуальный ландшафт социального знания</w:t>
            </w:r>
          </w:p>
        </w:tc>
        <w:tc>
          <w:tcPr>
            <w:tcW w:w="2625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Читать </w:t>
            </w:r>
            <w:proofErr w:type="spellStart"/>
            <w:r w:rsidRPr="00D72CA1">
              <w:rPr>
                <w:rFonts w:ascii="Times New Roman" w:hAnsi="Times New Roman" w:cs="Times New Roman"/>
                <w:lang w:val="ru-RU"/>
              </w:rPr>
              <w:t>МакКракена</w:t>
            </w:r>
            <w:proofErr w:type="spellEnd"/>
          </w:p>
        </w:tc>
      </w:tr>
      <w:tr w:rsidR="005626C4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Объект исследования в социальных науках</w:t>
            </w:r>
          </w:p>
        </w:tc>
        <w:tc>
          <w:tcPr>
            <w:tcW w:w="2625" w:type="pct"/>
          </w:tcPr>
          <w:p w:rsidR="005626C4" w:rsidRPr="00D72CA1" w:rsidRDefault="00081329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Читать</w:t>
            </w:r>
            <w:r w:rsidR="005626C4" w:rsidRPr="00D72CA1">
              <w:rPr>
                <w:rFonts w:ascii="Times New Roman" w:hAnsi="Times New Roman" w:cs="Times New Roman"/>
                <w:lang w:val="ru-RU"/>
              </w:rPr>
              <w:t xml:space="preserve"> Штейнберга</w:t>
            </w:r>
            <w:r w:rsidRPr="00D72CA1">
              <w:rPr>
                <w:rFonts w:ascii="Times New Roman" w:hAnsi="Times New Roman" w:cs="Times New Roman"/>
                <w:lang w:val="ru-RU"/>
              </w:rPr>
              <w:t>, готовить синопсис курсовой</w:t>
            </w:r>
          </w:p>
        </w:tc>
      </w:tr>
      <w:tr w:rsidR="005626C4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Этика социальных наук</w:t>
            </w:r>
          </w:p>
        </w:tc>
        <w:tc>
          <w:tcPr>
            <w:tcW w:w="2625" w:type="pct"/>
          </w:tcPr>
          <w:p w:rsidR="005626C4" w:rsidRPr="00D72CA1" w:rsidRDefault="00081329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Читать </w:t>
            </w:r>
            <w:r w:rsidR="005626C4" w:rsidRPr="00D72CA1">
              <w:rPr>
                <w:rFonts w:ascii="Times New Roman" w:hAnsi="Times New Roman" w:cs="Times New Roman"/>
                <w:lang w:val="ru-RU"/>
              </w:rPr>
              <w:t>Штейнберга</w:t>
            </w:r>
            <w:r w:rsidRPr="00D72CA1">
              <w:rPr>
                <w:rFonts w:ascii="Times New Roman" w:hAnsi="Times New Roman" w:cs="Times New Roman"/>
                <w:lang w:val="ru-RU"/>
              </w:rPr>
              <w:t>, готовить синопсис курсовой</w:t>
            </w:r>
          </w:p>
        </w:tc>
      </w:tr>
      <w:tr w:rsidR="005626C4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5626C4" w:rsidP="00097015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Декабрь 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Категории социальных наук</w:t>
            </w:r>
          </w:p>
        </w:tc>
        <w:tc>
          <w:tcPr>
            <w:tcW w:w="2625" w:type="pct"/>
          </w:tcPr>
          <w:p w:rsidR="005626C4" w:rsidRPr="00D72CA1" w:rsidRDefault="00081329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Представить фрагмент итогового эссе (синопсиса)</w:t>
            </w:r>
          </w:p>
        </w:tc>
      </w:tr>
      <w:tr w:rsidR="005626C4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Проблемы категоризации материала</w:t>
            </w:r>
          </w:p>
        </w:tc>
        <w:tc>
          <w:tcPr>
            <w:tcW w:w="2625" w:type="pct"/>
          </w:tcPr>
          <w:p w:rsidR="005626C4" w:rsidRPr="00D72CA1" w:rsidRDefault="00081329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Представить фрагмент итогового эссе (синопсиса)</w:t>
            </w:r>
          </w:p>
        </w:tc>
      </w:tr>
      <w:tr w:rsidR="005626C4" w:rsidRPr="00D72CA1" w:rsidTr="00097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Организация аналитической работы</w:t>
            </w:r>
          </w:p>
        </w:tc>
        <w:tc>
          <w:tcPr>
            <w:tcW w:w="2625" w:type="pct"/>
          </w:tcPr>
          <w:p w:rsidR="005626C4" w:rsidRPr="00D72CA1" w:rsidRDefault="00081329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Представить фрагмент итогового эссе (синопсиса)</w:t>
            </w:r>
          </w:p>
        </w:tc>
      </w:tr>
      <w:tr w:rsidR="005626C4" w:rsidRPr="00D72CA1" w:rsidTr="0009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3" w:type="pct"/>
          </w:tcPr>
          <w:p w:rsidR="005626C4" w:rsidRPr="00D72CA1" w:rsidRDefault="00097015" w:rsidP="00A33B10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Декабрь</w:t>
            </w:r>
          </w:p>
        </w:tc>
        <w:tc>
          <w:tcPr>
            <w:tcW w:w="1852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lang w:val="ru-RU"/>
              </w:rPr>
              <w:t>Публичная защита итоговых эссе</w:t>
            </w:r>
          </w:p>
        </w:tc>
        <w:tc>
          <w:tcPr>
            <w:tcW w:w="2625" w:type="pct"/>
          </w:tcPr>
          <w:p w:rsidR="005626C4" w:rsidRPr="00D72CA1" w:rsidRDefault="005626C4" w:rsidP="00A33B10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Подготовить презентацию к защите</w:t>
            </w:r>
          </w:p>
        </w:tc>
      </w:tr>
    </w:tbl>
    <w:p w:rsidR="006674A3" w:rsidRPr="00D72CA1" w:rsidRDefault="006674A3" w:rsidP="007F73DF">
      <w:pPr>
        <w:pStyle w:val="5"/>
        <w:rPr>
          <w:rFonts w:ascii="Times New Roman" w:hAnsi="Times New Roman" w:cs="Times New Roman"/>
          <w:lang w:val="ru-RU"/>
        </w:rPr>
      </w:pPr>
    </w:p>
    <w:p w:rsidR="007F73DF" w:rsidRPr="00D72CA1" w:rsidRDefault="006674A3" w:rsidP="007F73DF">
      <w:pPr>
        <w:pStyle w:val="5"/>
        <w:rPr>
          <w:rFonts w:ascii="Times New Roman" w:hAnsi="Times New Roman" w:cs="Times New Roman"/>
          <w:color w:val="auto"/>
          <w:lang w:val="ru-RU"/>
        </w:rPr>
      </w:pPr>
      <w:r w:rsidRPr="00D72CA1">
        <w:rPr>
          <w:rFonts w:ascii="Times New Roman" w:hAnsi="Times New Roman" w:cs="Times New Roman"/>
          <w:color w:val="auto"/>
          <w:lang w:val="ru-RU"/>
        </w:rPr>
        <w:t>3. ОЦЕНКА</w:t>
      </w:r>
    </w:p>
    <w:p w:rsidR="006674A3" w:rsidRPr="00D72CA1" w:rsidRDefault="006674A3" w:rsidP="006674A3">
      <w:pPr>
        <w:rPr>
          <w:rFonts w:ascii="Times New Roman" w:hAnsi="Times New Roman" w:cs="Times New Roman"/>
          <w:lang w:val="ru-RU"/>
        </w:rPr>
      </w:pPr>
    </w:p>
    <w:tbl>
      <w:tblPr>
        <w:tblStyle w:val="-2"/>
        <w:tblW w:w="3563" w:type="pct"/>
        <w:tblLook w:val="0420" w:firstRow="1" w:lastRow="0" w:firstColumn="0" w:lastColumn="0" w:noHBand="0" w:noVBand="1"/>
      </w:tblPr>
      <w:tblGrid>
        <w:gridCol w:w="4898"/>
        <w:gridCol w:w="1922"/>
      </w:tblGrid>
      <w:tr w:rsidR="007F73DF" w:rsidRPr="00D72CA1" w:rsidTr="00BC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591" w:type="pct"/>
          </w:tcPr>
          <w:p w:rsidR="007F73DF" w:rsidRPr="00D72CA1" w:rsidRDefault="007F73DF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Требование</w:t>
            </w:r>
          </w:p>
        </w:tc>
        <w:tc>
          <w:tcPr>
            <w:tcW w:w="0" w:type="auto"/>
          </w:tcPr>
          <w:p w:rsidR="007F73DF" w:rsidRPr="00D72CA1" w:rsidRDefault="007F73DF" w:rsidP="00BC69DD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>К-во</w:t>
            </w:r>
            <w:proofErr w:type="gramEnd"/>
            <w:r w:rsidRPr="00D72CA1">
              <w:rPr>
                <w:rStyle w:val="a8"/>
                <w:rFonts w:ascii="Times New Roman" w:hAnsi="Times New Roman" w:cs="Times New Roman"/>
                <w:lang w:val="ru-RU"/>
              </w:rPr>
              <w:t xml:space="preserve"> баллов</w:t>
            </w:r>
          </w:p>
        </w:tc>
      </w:tr>
      <w:tr w:rsidR="007F73DF" w:rsidRPr="00D72CA1" w:rsidTr="00BC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91" w:type="pct"/>
          </w:tcPr>
          <w:p w:rsidR="007F73DF" w:rsidRPr="00D72CA1" w:rsidRDefault="003371B6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У</w:t>
            </w:r>
            <w:r w:rsidR="007F73DF" w:rsidRPr="00D72CA1">
              <w:rPr>
                <w:rFonts w:ascii="Times New Roman" w:hAnsi="Times New Roman" w:cs="Times New Roman"/>
                <w:lang w:val="ru-RU"/>
              </w:rPr>
              <w:t>частие в обсуждениях</w:t>
            </w:r>
            <w:r w:rsidRPr="00D72CA1">
              <w:rPr>
                <w:rFonts w:ascii="Times New Roman" w:hAnsi="Times New Roman" w:cs="Times New Roman"/>
                <w:lang w:val="ru-RU"/>
              </w:rPr>
              <w:t xml:space="preserve"> на занятиях</w:t>
            </w:r>
          </w:p>
        </w:tc>
        <w:tc>
          <w:tcPr>
            <w:tcW w:w="0" w:type="auto"/>
          </w:tcPr>
          <w:p w:rsidR="007F73DF" w:rsidRPr="00D72CA1" w:rsidRDefault="00D403B7" w:rsidP="00081329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2</w:t>
            </w:r>
            <w:r w:rsidR="00081329" w:rsidRPr="00D72CA1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7F73DF" w:rsidRPr="00D72CA1" w:rsidTr="00BC69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91" w:type="pct"/>
          </w:tcPr>
          <w:p w:rsidR="007F73DF" w:rsidRPr="00D72CA1" w:rsidRDefault="00D403B7" w:rsidP="00D403B7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Практические задания (каждое)</w:t>
            </w:r>
          </w:p>
        </w:tc>
        <w:tc>
          <w:tcPr>
            <w:tcW w:w="0" w:type="auto"/>
          </w:tcPr>
          <w:p w:rsidR="007F73DF" w:rsidRPr="00D72CA1" w:rsidRDefault="00D403B7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403B7" w:rsidRPr="00D72CA1" w:rsidTr="00BC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91" w:type="pct"/>
          </w:tcPr>
          <w:p w:rsidR="00D403B7" w:rsidRPr="00D72CA1" w:rsidRDefault="00D403B7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Групповое задание</w:t>
            </w:r>
          </w:p>
        </w:tc>
        <w:tc>
          <w:tcPr>
            <w:tcW w:w="0" w:type="auto"/>
          </w:tcPr>
          <w:p w:rsidR="00D403B7" w:rsidRPr="00D72CA1" w:rsidRDefault="00D403B7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7F73DF" w:rsidRPr="00D72CA1" w:rsidTr="00BC69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91" w:type="pct"/>
          </w:tcPr>
          <w:p w:rsidR="007F73DF" w:rsidRPr="00D72CA1" w:rsidRDefault="007F73DF" w:rsidP="002C6769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Итоговое </w:t>
            </w:r>
            <w:r w:rsidR="00D51C17" w:rsidRPr="00D72CA1">
              <w:rPr>
                <w:rFonts w:ascii="Times New Roman" w:hAnsi="Times New Roman" w:cs="Times New Roman"/>
                <w:lang w:val="ru-RU"/>
              </w:rPr>
              <w:t>эссе</w:t>
            </w:r>
          </w:p>
        </w:tc>
        <w:tc>
          <w:tcPr>
            <w:tcW w:w="0" w:type="auto"/>
          </w:tcPr>
          <w:p w:rsidR="007F73DF" w:rsidRPr="00D72CA1" w:rsidRDefault="00081329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F73DF" w:rsidRPr="00D72CA1" w:rsidTr="00BC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91" w:type="pct"/>
          </w:tcPr>
          <w:p w:rsidR="007F73DF" w:rsidRPr="00D72CA1" w:rsidRDefault="007F73DF" w:rsidP="002C6769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 xml:space="preserve">Публичная защита итогового </w:t>
            </w:r>
            <w:r w:rsidR="002C6769" w:rsidRPr="00D72CA1">
              <w:rPr>
                <w:rFonts w:ascii="Times New Roman" w:hAnsi="Times New Roman" w:cs="Times New Roman"/>
                <w:lang w:val="ru-RU"/>
              </w:rPr>
              <w:t>задания</w:t>
            </w:r>
          </w:p>
        </w:tc>
        <w:tc>
          <w:tcPr>
            <w:tcW w:w="0" w:type="auto"/>
          </w:tcPr>
          <w:p w:rsidR="007F73DF" w:rsidRPr="00D72CA1" w:rsidRDefault="00081329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1</w:t>
            </w:r>
            <w:r w:rsidR="00D51C17" w:rsidRPr="00D72CA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F73DF" w:rsidRPr="00D72CA1" w:rsidTr="00BC69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91" w:type="pct"/>
          </w:tcPr>
          <w:p w:rsidR="007F73DF" w:rsidRPr="00D72CA1" w:rsidRDefault="007F73DF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Всего максимально</w:t>
            </w:r>
          </w:p>
        </w:tc>
        <w:tc>
          <w:tcPr>
            <w:tcW w:w="0" w:type="auto"/>
          </w:tcPr>
          <w:p w:rsidR="007F73DF" w:rsidRPr="00D72CA1" w:rsidRDefault="007F73DF" w:rsidP="00BC69DD">
            <w:pPr>
              <w:rPr>
                <w:rFonts w:ascii="Times New Roman" w:hAnsi="Times New Roman" w:cs="Times New Roman"/>
                <w:lang w:val="ru-RU"/>
              </w:rPr>
            </w:pPr>
            <w:r w:rsidRPr="00D72CA1"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</w:tbl>
    <w:p w:rsidR="007F73DF" w:rsidRPr="00D72CA1" w:rsidRDefault="007F73DF" w:rsidP="007F73DF">
      <w:pPr>
        <w:spacing w:before="240"/>
        <w:rPr>
          <w:rFonts w:ascii="Times New Roman" w:hAnsi="Times New Roman" w:cs="Times New Roman"/>
          <w:lang w:val="ru-RU"/>
        </w:rPr>
      </w:pPr>
      <w:r w:rsidRPr="00D72CA1">
        <w:rPr>
          <w:rFonts w:ascii="Times New Roman" w:hAnsi="Times New Roman" w:cs="Times New Roman"/>
          <w:lang w:val="ru-RU"/>
        </w:rPr>
        <w:t>Конечная оценка зависит от числа набранных баллов</w:t>
      </w:r>
    </w:p>
    <w:tbl>
      <w:tblPr>
        <w:tblStyle w:val="-2"/>
        <w:tblW w:w="0" w:type="auto"/>
        <w:tblLook w:val="0200" w:firstRow="0" w:lastRow="0" w:firstColumn="0" w:lastColumn="0" w:noHBand="1" w:noVBand="0"/>
      </w:tblPr>
      <w:tblGrid>
        <w:gridCol w:w="913"/>
        <w:gridCol w:w="84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7F73DF" w:rsidRPr="00D72CA1" w:rsidTr="00BC69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Баллы</w:t>
            </w:r>
          </w:p>
        </w:tc>
        <w:tc>
          <w:tcPr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95-100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89-94</w:t>
            </w:r>
          </w:p>
        </w:tc>
        <w:tc>
          <w:tcPr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83-88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77-82</w:t>
            </w:r>
          </w:p>
        </w:tc>
        <w:tc>
          <w:tcPr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71-76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65-70</w:t>
            </w:r>
          </w:p>
        </w:tc>
        <w:tc>
          <w:tcPr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59-64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53-58</w:t>
            </w:r>
          </w:p>
        </w:tc>
        <w:tc>
          <w:tcPr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47-52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2CA1">
              <w:rPr>
                <w:rFonts w:ascii="Times New Roman" w:hAnsi="Times New Roman" w:cs="Times New Roman"/>
                <w:color w:val="000000"/>
                <w:lang w:val="ru-RU"/>
              </w:rPr>
              <w:t>41-46</w:t>
            </w:r>
          </w:p>
        </w:tc>
      </w:tr>
      <w:tr w:rsidR="007F73DF" w:rsidRPr="00D72CA1" w:rsidTr="00BC69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Оценка</w:t>
            </w:r>
          </w:p>
        </w:tc>
        <w:tc>
          <w:tcPr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F73DF" w:rsidRPr="00D72CA1" w:rsidRDefault="007F73DF" w:rsidP="00BC69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D72CA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</w:tr>
    </w:tbl>
    <w:p w:rsidR="007F73DF" w:rsidRPr="00D72CA1" w:rsidRDefault="007F73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74A3" w:rsidRPr="00D72CA1" w:rsidRDefault="006674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4. ОПИСАНИЕ ЗАДАНИЙ</w:t>
      </w:r>
    </w:p>
    <w:p w:rsidR="00C13DB8" w:rsidRPr="00D72CA1" w:rsidRDefault="00C13D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3DB8" w:rsidRPr="00D72CA1" w:rsidRDefault="00C13D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4.1. Практические задания</w:t>
      </w:r>
    </w:p>
    <w:p w:rsidR="00CE1BF1" w:rsidRPr="00D72CA1" w:rsidRDefault="00CE1BF1" w:rsidP="00CE1B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задание 1.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: Студентам будет предложено в режиме групповой работы изучить некоторый объем информации, представляющий собой описание проблематики. В процессе кооперативного обмена в смешанной группе студенты будут должны обменяться изученной информацией так, чтобы у каждого в результате появилось суммированное представление проблемы исходя из разных позиций. По результатам задания каждый студент должен будет написать эссе по сформулированной теме.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: В эссе должны будут отражены все аспекты рассматриваемой проблемы с разных сторон и предложены собственные оценки и сформулированные вопросы, а также возможные ссылки на дополнительную информацию, самостоятельно найденную в сети. Студенты, полностью выполнившие данное задание, получат 5 баллов. Студенты, которые не смогут выразить собственные оценки с опорой на дополнительные источники – до 3 баллов. Студенты, которые не смогут полностью отразить все аспекты рассматриваемой проблемы – до 1 балла.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парное задание 2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: Студенты в режиме парной работы должны будут проанализировать информацию на предмет ее достоверности, выявить слова-маркеры и иные признаки недостоверности, а также сформулировать аргументы для доказательства недостоверности и противодействия ей на основе дополнительных сетевых источников.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: Будет оцениваться полнота анализа предложенного текста, найденные слова-маркеры и иные признаки недостоверности, а также количество и качество альтернативных доказательств, а также согласованность и скорость действий. Студенты, которые смогут полностью «нейтрализовать» недостоверную информацию в течение предложенного времени для выполнения задания получат 5 баллов. Отклонение по времени снижает оценку до 4 баллов. Недостаточность предложенных аргументов будет оценена до 3 баллов. Слабая аргументация без необходимых ссылок будет оценена до 1 балла.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парное задание 3.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Описание: 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Студенты должны будут подготовить расширенные (с необходимыми ссылками на источники) аргументы «за» и «против» для проведения дискуссии по одной из предложенных проблем и провести дискуссии в парах.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:  Будет оцениваться количество представленных аргументов «за» и «против», их доказательность и развернутость. Наличие не менее 7 развернутых аргументов «за» и столько же «против» оценивается до 5 баллов. Наличие не менее 5 аргументов «за» и столько же «против» будет оценено до 3 баллов. Наличие менее</w:t>
      </w:r>
      <w:proofErr w:type="gramStart"/>
      <w:r w:rsidRPr="00D72CA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чем 5 аргументов будет оценено до 1 балла.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4.2. Групповое занятие.</w:t>
      </w:r>
    </w:p>
    <w:p w:rsidR="00CE1BF1" w:rsidRPr="00D72CA1" w:rsidRDefault="00CE1BF1" w:rsidP="00CE1BF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Описание: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Студенты в группе должны будут проанализировать один из предложенных нормативных документов с точки зрения однозначности/многозначности толкования различными целевыми группами, для которых он предназначен. По результатам анализа будет необходимо представить экспертное заключение о качестве нормативного документа (включая описание возможных толкований) и методические рекомендации по его корректировке или подготовке дополнительных разъяснений.</w:t>
      </w:r>
    </w:p>
    <w:p w:rsidR="00CE1BF1" w:rsidRPr="00D72CA1" w:rsidRDefault="00CE1BF1" w:rsidP="00CE1BF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: Групповое задание оценивается в 20 баллов (каждому участнику группы выставляется одинаковое число баллов). </w:t>
      </w:r>
      <w:proofErr w:type="gramStart"/>
      <w:r w:rsidRPr="00D72CA1">
        <w:rPr>
          <w:rFonts w:ascii="Times New Roman" w:hAnsi="Times New Roman" w:cs="Times New Roman"/>
          <w:sz w:val="24"/>
          <w:szCs w:val="24"/>
          <w:lang w:val="ru-RU"/>
        </w:rPr>
        <w:t>Оценка формируется из 4 частей: глубина анализа документа, заключающаяся в числе выявленных возможных толкований для разных целевых групп и их аргументации (до 5 баллов), письменное оформление экспертного заключения (стиль, отсутствие неоднозначных толкований, объем) (до 5 баллов), качество представленных рекомендаций для корректировки документа (до 5 баллов) и степень участия каждого члена группы и его полезность в совместной работе (до 5 баллов).</w:t>
      </w:r>
      <w:proofErr w:type="gramEnd"/>
    </w:p>
    <w:p w:rsidR="005626C4" w:rsidRPr="00D72CA1" w:rsidRDefault="005626C4" w:rsidP="005626C4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4.3. Итоговое эссе</w:t>
      </w:r>
    </w:p>
    <w:p w:rsidR="005626C4" w:rsidRPr="00D72CA1" w:rsidRDefault="005626C4" w:rsidP="005626C4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26C4" w:rsidRPr="00D72CA1" w:rsidRDefault="005626C4" w:rsidP="005626C4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Описание: 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Задачей итогового эссе является определение тематики, плана, методологии и основных понятий будущей курсовой работы студента. </w:t>
      </w:r>
      <w:r w:rsidR="00081329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итоговое эссе фактически представляет собой синопсис (краткие проект) будущего текста КР. </w:t>
      </w:r>
      <w:r w:rsidRPr="00D72CA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Объем итогового эссе – не менее </w:t>
      </w:r>
      <w:r w:rsidR="00D51C17" w:rsidRPr="00D72CA1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D72CA1">
        <w:rPr>
          <w:rFonts w:ascii="Times New Roman" w:hAnsi="Times New Roman" w:cs="Times New Roman"/>
          <w:sz w:val="24"/>
          <w:szCs w:val="24"/>
          <w:u w:val="single"/>
          <w:lang w:val="ru-RU"/>
        </w:rPr>
        <w:t>500 и не более</w:t>
      </w:r>
      <w:r w:rsidR="00D51C17" w:rsidRPr="00D72CA1">
        <w:rPr>
          <w:rFonts w:ascii="Times New Roman" w:hAnsi="Times New Roman" w:cs="Times New Roman"/>
          <w:sz w:val="24"/>
          <w:szCs w:val="24"/>
          <w:u w:val="single"/>
          <w:lang w:val="ru-RU"/>
        </w:rPr>
        <w:t>25</w:t>
      </w:r>
      <w:r w:rsidRPr="00D72CA1">
        <w:rPr>
          <w:rFonts w:ascii="Times New Roman" w:hAnsi="Times New Roman" w:cs="Times New Roman"/>
          <w:sz w:val="24"/>
          <w:szCs w:val="24"/>
          <w:u w:val="single"/>
          <w:lang w:val="ru-RU"/>
        </w:rPr>
        <w:t>00 слов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1329" w:rsidRPr="00D72CA1" w:rsidRDefault="00081329" w:rsidP="00081329">
      <w:pPr>
        <w:tabs>
          <w:tab w:val="left" w:pos="1770"/>
          <w:tab w:val="center" w:pos="4707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1329" w:rsidRPr="00D72CA1" w:rsidRDefault="00081329" w:rsidP="00081329">
      <w:pPr>
        <w:tabs>
          <w:tab w:val="left" w:pos="1770"/>
          <w:tab w:val="center" w:pos="4707"/>
        </w:tabs>
        <w:ind w:left="-284"/>
        <w:jc w:val="both"/>
        <w:rPr>
          <w:rFonts w:ascii="Times New Roman" w:hAnsi="Times New Roman" w:cs="Times New Roman"/>
          <w:b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Работа над подготовкой итогового эссе (синопсиса) </w:t>
      </w:r>
      <w:r w:rsidR="00D72CA1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во 2 модуле 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может вестись в зависимости от выбора студента п</w:t>
      </w:r>
      <w:r w:rsidR="00D72CA1" w:rsidRPr="00D72CA1">
        <w:rPr>
          <w:rFonts w:ascii="Times New Roman" w:hAnsi="Times New Roman" w:cs="Times New Roman"/>
          <w:sz w:val="24"/>
          <w:szCs w:val="24"/>
          <w:lang w:val="ru-RU"/>
        </w:rPr>
        <w:t>о двум траекториям: накопительной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72CA1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реверсивной. С целью обеспечения качественных индивидуальных консультаций максимальное число студентов, могущих выбрать реверсивную траекторию, ограничивается 9 магистрантами. При этом предпочтение отдается магистрантам, показавшим лучшие академические результаты по итогам 1 модуля. 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5"/>
        <w:gridCol w:w="4965"/>
      </w:tblGrid>
      <w:tr w:rsidR="00081329" w:rsidRPr="00D72CA1" w:rsidTr="002126E5">
        <w:trPr>
          <w:trHeight w:val="780"/>
        </w:trPr>
        <w:tc>
          <w:tcPr>
            <w:tcW w:w="9630" w:type="dxa"/>
            <w:gridSpan w:val="3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Траектории </w:t>
            </w:r>
            <w:proofErr w:type="gramStart"/>
            <w:r w:rsidRPr="00D72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курсу</w:t>
            </w:r>
            <w:proofErr w:type="gramEnd"/>
            <w:r w:rsidRPr="00D72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НИС</w:t>
            </w:r>
          </w:p>
        </w:tc>
      </w:tr>
      <w:tr w:rsidR="00081329" w:rsidRPr="00D72CA1" w:rsidTr="002126E5">
        <w:trPr>
          <w:trHeight w:val="480"/>
        </w:trPr>
        <w:tc>
          <w:tcPr>
            <w:tcW w:w="4665" w:type="dxa"/>
            <w:gridSpan w:val="2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Траектория 1 Реверсивная</w:t>
            </w:r>
          </w:p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баллов начисляется студенту сразу</w:t>
            </w:r>
          </w:p>
        </w:tc>
        <w:tc>
          <w:tcPr>
            <w:tcW w:w="4965" w:type="dxa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Траектория 2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Накопительная</w:t>
            </w:r>
          </w:p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 начисляется постепенно</w:t>
            </w:r>
          </w:p>
        </w:tc>
      </w:tr>
      <w:tr w:rsidR="00081329" w:rsidRPr="00D72CA1" w:rsidTr="002126E5">
        <w:trPr>
          <w:trHeight w:val="865"/>
        </w:trPr>
        <w:tc>
          <w:tcPr>
            <w:tcW w:w="4665" w:type="dxa"/>
            <w:gridSpan w:val="2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занятия не посещаются</w:t>
            </w:r>
          </w:p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Штраф – 2 балла</w:t>
            </w:r>
          </w:p>
        </w:tc>
        <w:tc>
          <w:tcPr>
            <w:tcW w:w="4965" w:type="dxa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занятия посещаются</w:t>
            </w:r>
          </w:p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– 2 балла</w:t>
            </w:r>
          </w:p>
        </w:tc>
      </w:tr>
      <w:tr w:rsidR="00081329" w:rsidRPr="00097015" w:rsidTr="002126E5">
        <w:trPr>
          <w:trHeight w:val="1050"/>
        </w:trPr>
        <w:tc>
          <w:tcPr>
            <w:tcW w:w="4650" w:type="dxa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Посещаются индивидуальные консультации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руководителем НИС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менее 4). На каждой представляется фрагмент текста объемом не менее 300 слов.</w:t>
            </w:r>
          </w:p>
          <w:p w:rsidR="00081329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Штраф – 4 балла</w:t>
            </w:r>
          </w:p>
          <w:p w:rsidR="00097015" w:rsidRPr="00D72CA1" w:rsidRDefault="00097015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Руководителем НИС также начисляются баллы за качество представленных фрагментов в зависимости от их соответствия критериям оценки итогового эссе.</w:t>
            </w:r>
          </w:p>
        </w:tc>
        <w:tc>
          <w:tcPr>
            <w:tcW w:w="4980" w:type="dxa"/>
            <w:gridSpan w:val="2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не посещаются. Фрагменты текста (объемом не менее 300 слов</w:t>
            </w:r>
            <w:r w:rsid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каждый) представляются на коллективных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занятиях</w:t>
            </w:r>
          </w:p>
          <w:p w:rsidR="00081329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– 4 балла</w:t>
            </w:r>
          </w:p>
          <w:p w:rsidR="00097015" w:rsidRPr="00D72CA1" w:rsidRDefault="00097015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Руководителем НИС также начисляются баллы за качество представленных фрагментов в зависимости от их соответствия критериям оценки итогового эссе.</w:t>
            </w:r>
            <w:bookmarkStart w:id="2" w:name="_GoBack"/>
            <w:bookmarkEnd w:id="2"/>
          </w:p>
        </w:tc>
      </w:tr>
      <w:tr w:rsidR="00081329" w:rsidRPr="00D72CA1" w:rsidTr="002126E5">
        <w:trPr>
          <w:trHeight w:val="930"/>
        </w:trPr>
        <w:tc>
          <w:tcPr>
            <w:tcW w:w="4650" w:type="dxa"/>
          </w:tcPr>
          <w:p w:rsidR="00081329" w:rsidRPr="00D72CA1" w:rsidRDefault="001F4FD2" w:rsidP="00D72C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Текст синопсиса 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анонимно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рецензируется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аспирантом или ППС Института образования. Рецензент подбирается руководителем НИС на основе наличия у рецензента публикаций по сходным темам. </w:t>
            </w:r>
            <w:r w:rsidR="000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рецензия – 10 баллов</w:t>
            </w:r>
          </w:p>
        </w:tc>
        <w:tc>
          <w:tcPr>
            <w:tcW w:w="4980" w:type="dxa"/>
            <w:gridSpan w:val="2"/>
          </w:tcPr>
          <w:p w:rsidR="00081329" w:rsidRPr="00D72CA1" w:rsidRDefault="00D72CA1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синопсиса анонимно рецензируется аспирантом или ППС Института образования. Рецензент подбирается руководителем НИС на основе наличия у рецензента публикаций по сходным темам.</w:t>
            </w:r>
            <w:r w:rsidR="000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Положительная рецензия – 10 баллов. </w:t>
            </w:r>
          </w:p>
        </w:tc>
      </w:tr>
      <w:tr w:rsidR="00081329" w:rsidRPr="00D72CA1" w:rsidTr="00D72CA1">
        <w:trPr>
          <w:trHeight w:val="699"/>
        </w:trPr>
        <w:tc>
          <w:tcPr>
            <w:tcW w:w="9630" w:type="dxa"/>
            <w:gridSpan w:val="3"/>
          </w:tcPr>
          <w:p w:rsidR="00081329" w:rsidRPr="00D72CA1" w:rsidRDefault="00081329" w:rsidP="00081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работ проходит в один день. На каждое выступление отводится не более 5 минут. На защите можно получить максимум 10 баллов. Оценка определяется суммированием оценок 5 членов экспертного комитета (каждый выставляет 0 или 1), состоящего из студентов магистерской программы ИПО,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оценкой по 5-балльной, кот</w:t>
            </w:r>
            <w:r w:rsidR="00D72CA1"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орую выставляет преподаватель.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Оценки членов экспертного комитета и оценка преподавателя выставляется в соответствии с коллективно утвержденными в начале модуля критериями. Эти же критерии применяются рецензентами. </w:t>
            </w:r>
          </w:p>
        </w:tc>
      </w:tr>
    </w:tbl>
    <w:p w:rsidR="00081329" w:rsidRPr="00D72CA1" w:rsidRDefault="00081329" w:rsidP="005626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1329" w:rsidRPr="00D72CA1" w:rsidRDefault="00081329" w:rsidP="005626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6C4" w:rsidRDefault="005626C4" w:rsidP="005626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итогового эссе:</w:t>
      </w:r>
    </w:p>
    <w:p w:rsidR="00D72CA1" w:rsidRPr="00D72CA1" w:rsidRDefault="00D72CA1" w:rsidP="005626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26C4" w:rsidRPr="00D72CA1" w:rsidRDefault="00D72CA1" w:rsidP="00D72CA1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баллов - Эссе не предоставлено в установленные сроки</w:t>
      </w:r>
    </w:p>
    <w:p w:rsidR="005626C4" w:rsidRPr="00D72CA1" w:rsidRDefault="00081329" w:rsidP="00D72CA1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1C17" w:rsidRPr="00D72CA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баллов – Язык эссе достаточно ясен, однако некоторые базовые понятия не определены, привлекаемый эмпирический и теоретический материал представлен фрагментарно, логическая связность изложения недостаточна, библиографический список составлен произвольно</w:t>
      </w:r>
    </w:p>
    <w:p w:rsidR="005626C4" w:rsidRPr="00D72CA1" w:rsidRDefault="00D51C17" w:rsidP="00D72CA1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081329" w:rsidRPr="00D72CA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баллов – Язык эссе обнаруживает хорошее владение академическим стилем письма, основные понятия определены, эмпирический и теоретический материал представлен </w:t>
      </w:r>
      <w:proofErr w:type="spellStart"/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реферативно</w:t>
      </w:r>
      <w:proofErr w:type="spellEnd"/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и/или с опорой только на русскоязычные источники, изложение достаточно логично, однако  не всегда </w:t>
      </w:r>
      <w:proofErr w:type="gramStart"/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достаточно связно</w:t>
      </w:r>
      <w:proofErr w:type="gramEnd"/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, библиографический список достаточно подробен</w:t>
      </w:r>
    </w:p>
    <w:p w:rsidR="005626C4" w:rsidRPr="00D72CA1" w:rsidRDefault="00081329" w:rsidP="00D72CA1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2CA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0 баллов – Язык эссе соответствует нормам академического стиля, автор ясно формулирует понятия и использует их при построении аргументированных рассуждений, учитывающих современные концепции в выбранной сфере, эмпирический и теоретический материал представлен достаточно полно, однако имеются некоторые упущения, соотношение концептуального и методологического аппарата работы недостаточно прояснено, библиографический список подробен, но обнаруживает избыточную разнородность</w:t>
      </w:r>
      <w:proofErr w:type="gramEnd"/>
    </w:p>
    <w:p w:rsidR="005626C4" w:rsidRPr="00D72CA1" w:rsidRDefault="00081329" w:rsidP="00D72CA1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5626C4"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баллов – Язык работы обладает заметными стилистическими достоинствами, автор использует сформулированные им суждения для аргументированной теоретической полемики с другими концепциями, библиографический список достаточно подробен и внутренне связен, соотношение концептуального аппарата и применяемых методов разъяснено, эмпирический материал подобран полно и глубоко проанализирован</w:t>
      </w:r>
    </w:p>
    <w:p w:rsidR="005626C4" w:rsidRPr="00D72CA1" w:rsidRDefault="005626C4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6C4" w:rsidRPr="00D72CA1" w:rsidRDefault="005626C4" w:rsidP="00D72C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D51C17" w:rsidRPr="00D72CA1">
        <w:rPr>
          <w:rFonts w:ascii="Times New Roman" w:hAnsi="Times New Roman" w:cs="Times New Roman"/>
          <w:b/>
          <w:sz w:val="24"/>
          <w:szCs w:val="24"/>
          <w:lang w:val="ru-RU"/>
        </w:rPr>
        <w:t>.4</w:t>
      </w: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. Публичная защита итогового эссе</w:t>
      </w:r>
    </w:p>
    <w:p w:rsidR="005626C4" w:rsidRPr="00D72CA1" w:rsidRDefault="005626C4" w:rsidP="00D72C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26C4" w:rsidRPr="00D72CA1" w:rsidRDefault="005626C4" w:rsidP="00D72C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>Описание: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Целью публичной защиты является формирование у студентов навыка аргументированной академической дискуссии. Каждому студенту для представления работы будет выделено 8-10 минут. Каждому студенту необходимо подготовить к своему выступлению электронную презентацию. </w:t>
      </w:r>
    </w:p>
    <w:p w:rsidR="005626C4" w:rsidRPr="00D72CA1" w:rsidRDefault="005626C4" w:rsidP="00D72C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6C4" w:rsidRPr="00D72CA1" w:rsidRDefault="005626C4" w:rsidP="00D72CA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оценки: </w:t>
      </w:r>
      <w:proofErr w:type="gramStart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Оценка за публичную защиту складывается из </w:t>
      </w:r>
      <w:r w:rsidR="00D51C17" w:rsidRPr="00D72CA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х частей: 5 баллов (максимум) за логичность и последовательность презентации; 5 баллов (максимум) – широта и глубина анализа привлекаемых источников и методов; 5 баллов (максимум)  – ответы на 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вопросы</w:t>
      </w:r>
      <w:r w:rsidR="00D51C17" w:rsidRPr="00D72CA1">
        <w:rPr>
          <w:rFonts w:ascii="Times New Roman" w:hAnsi="Times New Roman" w:cs="Times New Roman"/>
          <w:sz w:val="24"/>
          <w:szCs w:val="24"/>
          <w:lang w:val="ru-RU"/>
        </w:rPr>
        <w:t>; 5 баллов (максимум) – по усмотрению члена комиссии как поощрение за актуальность темы, точность формулировки исследовательского вопроса и т.п.</w:t>
      </w:r>
      <w:proofErr w:type="gramEnd"/>
    </w:p>
    <w:p w:rsidR="005626C4" w:rsidRPr="00D72CA1" w:rsidRDefault="005626C4" w:rsidP="00D72CA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6C4" w:rsidRPr="00D72CA1" w:rsidRDefault="006D084C" w:rsidP="00D72CA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СПИСОК ЛИТЕРАТУРЫ:</w:t>
      </w:r>
    </w:p>
    <w:p w:rsidR="005626C4" w:rsidRPr="00D72CA1" w:rsidRDefault="005626C4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72CA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Документы образовательной политики</w:t>
      </w:r>
    </w:p>
    <w:p w:rsidR="006D084C" w:rsidRPr="00D72CA1" w:rsidRDefault="006D084C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Декларация «Образование для всех» </w:t>
      </w:r>
      <w:hyperlink r:id="rId16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http://www.un.org/ru/events/literacy/dakar.htm</w:t>
        </w:r>
      </w:hyperlink>
    </w:p>
    <w:p w:rsidR="006D084C" w:rsidRPr="00D72CA1" w:rsidRDefault="006D084C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Декларация «Образование для устойчивого развития» </w:t>
      </w:r>
      <w:hyperlink r:id="rId17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http://unesdoc.unesco.org/images/0023/002310/231074r.pdf</w:t>
        </w:r>
      </w:hyperlink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84C" w:rsidRPr="00D72CA1" w:rsidRDefault="006D084C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Декларация «Открытое образование» </w:t>
      </w:r>
      <w:hyperlink r:id="rId18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http://www.capetowndeclaration.org/translations/russian-translation</w:t>
        </w:r>
      </w:hyperlink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6C4" w:rsidRPr="00D72CA1" w:rsidRDefault="005626C4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№273-ФЗ «Об образовании в Российской Федерации»</w:t>
      </w:r>
    </w:p>
    <w:p w:rsidR="00D51C17" w:rsidRPr="00D72CA1" w:rsidRDefault="00D51C17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72CA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Исследовательская литература</w:t>
      </w:r>
    </w:p>
    <w:p w:rsidR="005626C4" w:rsidRPr="00D72CA1" w:rsidRDefault="005626C4" w:rsidP="00D72CA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</w:rPr>
        <w:t xml:space="preserve">McCracken </w:t>
      </w:r>
      <w:proofErr w:type="gramStart"/>
      <w:r w:rsidR="00D51C17" w:rsidRPr="00D72CA1">
        <w:rPr>
          <w:rFonts w:ascii="Times New Roman" w:hAnsi="Times New Roman" w:cs="Times New Roman"/>
          <w:sz w:val="24"/>
          <w:szCs w:val="24"/>
        </w:rPr>
        <w:t>G.</w:t>
      </w:r>
      <w:r w:rsidRPr="00D72C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CA1">
        <w:rPr>
          <w:rFonts w:ascii="Times New Roman" w:hAnsi="Times New Roman" w:cs="Times New Roman"/>
          <w:sz w:val="24"/>
          <w:szCs w:val="24"/>
        </w:rPr>
        <w:t xml:space="preserve"> (1988) </w:t>
      </w:r>
      <w:proofErr w:type="gramStart"/>
      <w:r w:rsidRPr="00D72C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72CA1">
        <w:rPr>
          <w:rFonts w:ascii="Times New Roman" w:hAnsi="Times New Roman" w:cs="Times New Roman"/>
          <w:sz w:val="24"/>
          <w:szCs w:val="24"/>
        </w:rPr>
        <w:t xml:space="preserve"> Long Interview. L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D72CA1">
        <w:rPr>
          <w:rFonts w:ascii="Times New Roman" w:hAnsi="Times New Roman" w:cs="Times New Roman"/>
          <w:sz w:val="24"/>
          <w:szCs w:val="24"/>
          <w:lang w:val="ru-RU"/>
        </w:rPr>
        <w:t>Sage</w:t>
      </w:r>
      <w:proofErr w:type="spellEnd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(файл предоставляется преподавателем)</w:t>
      </w:r>
    </w:p>
    <w:p w:rsidR="005626C4" w:rsidRPr="00D72CA1" w:rsidRDefault="005626C4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Штейнберг И., </w:t>
      </w:r>
      <w:proofErr w:type="spellStart"/>
      <w:r w:rsidRPr="00D72CA1">
        <w:rPr>
          <w:rFonts w:ascii="Times New Roman" w:hAnsi="Times New Roman" w:cs="Times New Roman"/>
          <w:sz w:val="24"/>
          <w:szCs w:val="24"/>
          <w:lang w:val="ru-RU"/>
        </w:rPr>
        <w:t>Шанин</w:t>
      </w:r>
      <w:proofErr w:type="spellEnd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Т., Ковалев Е., Левинсон А. (2009) Качественные методы. Полевые социологические исследования. СПб</w:t>
      </w:r>
      <w:proofErr w:type="gramStart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proofErr w:type="gramEnd"/>
      <w:r w:rsidRPr="00D72CA1">
        <w:rPr>
          <w:rFonts w:ascii="Times New Roman" w:hAnsi="Times New Roman" w:cs="Times New Roman"/>
          <w:sz w:val="24"/>
          <w:szCs w:val="24"/>
          <w:lang w:val="ru-RU"/>
        </w:rPr>
        <w:t>Алетейя</w:t>
      </w:r>
      <w:proofErr w:type="spellEnd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hyperlink r:id="rId19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http://www.cisr.ru/files/publ/qual_method_cover.pdf</w:t>
        </w:r>
      </w:hyperlink>
    </w:p>
    <w:p w:rsidR="00D51C17" w:rsidRPr="00D72CA1" w:rsidRDefault="00D51C17" w:rsidP="00D72CA1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72CA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Экспертные мнения</w:t>
      </w:r>
    </w:p>
    <w:p w:rsidR="00D51C17" w:rsidRPr="00D72CA1" w:rsidRDefault="00D51C17" w:rsidP="00D72CA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Привалов А. «Образование погибло» </w:t>
      </w:r>
      <w:hyperlink r:id="rId20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http://www.pravmir.ru/aleksandr-privalov-obrazovanie-pogiblo/</w:t>
        </w:r>
      </w:hyperlink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1C17" w:rsidRPr="00D72CA1" w:rsidRDefault="00D51C17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2CA1">
        <w:rPr>
          <w:rFonts w:ascii="Times New Roman" w:hAnsi="Times New Roman" w:cs="Times New Roman"/>
          <w:sz w:val="24"/>
          <w:szCs w:val="24"/>
          <w:lang w:val="ru-RU"/>
        </w:rPr>
        <w:t>Фукуяма</w:t>
      </w:r>
      <w:proofErr w:type="spellEnd"/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 Ф. «Конец истории и последний человек» </w:t>
      </w:r>
      <w:hyperlink r:id="rId21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http://www.nietzsche.ru/influence/philosophie/fukuama/</w:t>
        </w:r>
      </w:hyperlink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1C17" w:rsidRPr="00D72CA1" w:rsidRDefault="00D51C17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72CA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Художественная литература</w:t>
      </w:r>
    </w:p>
    <w:p w:rsidR="00D51C17" w:rsidRPr="00D72CA1" w:rsidRDefault="00D51C17" w:rsidP="00D72CA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A1">
        <w:rPr>
          <w:rFonts w:ascii="Times New Roman" w:hAnsi="Times New Roman" w:cs="Times New Roman"/>
          <w:sz w:val="24"/>
          <w:szCs w:val="24"/>
          <w:lang w:val="ru-RU"/>
        </w:rPr>
        <w:t>Пантелеев</w:t>
      </w:r>
      <w:r w:rsidRPr="00D72CA1">
        <w:rPr>
          <w:rFonts w:ascii="Times New Roman" w:hAnsi="Times New Roman" w:cs="Times New Roman"/>
          <w:sz w:val="24"/>
          <w:szCs w:val="24"/>
        </w:rPr>
        <w:t> 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>Л., Белых</w:t>
      </w:r>
      <w:r w:rsidRPr="00D72CA1">
        <w:rPr>
          <w:rFonts w:ascii="Times New Roman" w:hAnsi="Times New Roman" w:cs="Times New Roman"/>
          <w:sz w:val="24"/>
          <w:szCs w:val="24"/>
        </w:rPr>
        <w:t> </w:t>
      </w:r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Г., Республика ШКИД </w:t>
      </w:r>
      <w:hyperlink r:id="rId22" w:history="1">
        <w:r w:rsidRPr="00D72CA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http://www.lib.ru/RUSSLIT/PANTELEEW/respublikashkid.txt</w:t>
        </w:r>
      </w:hyperlink>
      <w:r w:rsidRPr="00D72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6C4" w:rsidRPr="00D72CA1" w:rsidRDefault="005626C4" w:rsidP="00D72CA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26C4" w:rsidRPr="00D72CA1" w:rsidRDefault="005626C4" w:rsidP="00D72CA1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26C4" w:rsidRPr="00D7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B4"/>
    <w:rsid w:val="00010FC4"/>
    <w:rsid w:val="00081329"/>
    <w:rsid w:val="00097015"/>
    <w:rsid w:val="000D257E"/>
    <w:rsid w:val="00134C1E"/>
    <w:rsid w:val="00146E97"/>
    <w:rsid w:val="001E0F8B"/>
    <w:rsid w:val="001F4FD2"/>
    <w:rsid w:val="001F7ED4"/>
    <w:rsid w:val="002C6769"/>
    <w:rsid w:val="003371B6"/>
    <w:rsid w:val="00362AD7"/>
    <w:rsid w:val="003B50DF"/>
    <w:rsid w:val="00470C3B"/>
    <w:rsid w:val="004B5C2F"/>
    <w:rsid w:val="004C0EEB"/>
    <w:rsid w:val="005522DE"/>
    <w:rsid w:val="005626C4"/>
    <w:rsid w:val="006674A3"/>
    <w:rsid w:val="006D084C"/>
    <w:rsid w:val="00732A4F"/>
    <w:rsid w:val="00773F2B"/>
    <w:rsid w:val="007F73DF"/>
    <w:rsid w:val="00840AE1"/>
    <w:rsid w:val="008D530B"/>
    <w:rsid w:val="009B4086"/>
    <w:rsid w:val="00A035C5"/>
    <w:rsid w:val="00C13DB8"/>
    <w:rsid w:val="00C73006"/>
    <w:rsid w:val="00CE1BF1"/>
    <w:rsid w:val="00D151E4"/>
    <w:rsid w:val="00D403B7"/>
    <w:rsid w:val="00D51C17"/>
    <w:rsid w:val="00D72CA1"/>
    <w:rsid w:val="00E44408"/>
    <w:rsid w:val="00E632EB"/>
    <w:rsid w:val="00F34030"/>
    <w:rsid w:val="00F438B4"/>
    <w:rsid w:val="00F76E83"/>
    <w:rsid w:val="00FB5DC9"/>
    <w:rsid w:val="00FC659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4"/>
    <w:pPr>
      <w:spacing w:after="200" w:line="252" w:lineRule="auto"/>
      <w:ind w:firstLine="0"/>
    </w:pPr>
    <w:rPr>
      <w:rFonts w:asciiTheme="majorHAnsi" w:eastAsiaTheme="majorEastAsia" w:hAnsiTheme="majorHAnsi" w:cstheme="majorBidi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38B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38B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438B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DF"/>
    <w:pPr>
      <w:keepNext/>
      <w:keepLines/>
      <w:spacing w:before="200" w:after="0"/>
      <w:outlineLvl w:val="4"/>
    </w:pPr>
    <w:rPr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8B4"/>
    <w:rPr>
      <w:rFonts w:asciiTheme="majorHAnsi" w:eastAsiaTheme="majorEastAsia" w:hAnsiTheme="majorHAnsi" w:cstheme="majorBidi"/>
      <w:caps/>
      <w:color w:val="632423" w:themeColor="accent2" w:themeShade="80"/>
      <w:spacing w:val="15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438B4"/>
    <w:rPr>
      <w:rFonts w:asciiTheme="majorHAnsi" w:eastAsiaTheme="majorEastAsia" w:hAnsiTheme="majorHAnsi" w:cstheme="majorBidi"/>
      <w:caps/>
      <w:color w:val="622423" w:themeColor="accent2" w:themeShade="7F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F438B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lang w:val="en-US" w:bidi="en-US"/>
    </w:rPr>
  </w:style>
  <w:style w:type="character" w:styleId="a3">
    <w:name w:val="Hyperlink"/>
    <w:basedOn w:val="a0"/>
    <w:uiPriority w:val="99"/>
    <w:unhideWhenUsed/>
    <w:rsid w:val="00F438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38B4"/>
    <w:pPr>
      <w:ind w:firstLine="0"/>
    </w:pPr>
    <w:rPr>
      <w:rFonts w:asciiTheme="majorHAnsi" w:eastAsiaTheme="majorEastAsia" w:hAnsiTheme="majorHAnsi" w:cstheme="majorBid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8B4"/>
    <w:rPr>
      <w:rFonts w:ascii="Tahoma" w:eastAsiaTheme="majorEastAsi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F438B4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F438B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table" w:styleId="-2">
    <w:name w:val="Light Grid Accent 2"/>
    <w:basedOn w:val="a1"/>
    <w:uiPriority w:val="62"/>
    <w:rsid w:val="00F438B4"/>
    <w:pPr>
      <w:ind w:firstLine="0"/>
    </w:pPr>
    <w:rPr>
      <w:rFonts w:asciiTheme="majorHAnsi" w:eastAsiaTheme="majorEastAsia" w:hAnsiTheme="majorHAnsi" w:cstheme="majorBidi"/>
      <w:sz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F438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38B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38B4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F73DF"/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4"/>
    <w:pPr>
      <w:spacing w:after="200" w:line="252" w:lineRule="auto"/>
      <w:ind w:firstLine="0"/>
    </w:pPr>
    <w:rPr>
      <w:rFonts w:asciiTheme="majorHAnsi" w:eastAsiaTheme="majorEastAsia" w:hAnsiTheme="majorHAnsi" w:cstheme="majorBidi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38B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38B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438B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DF"/>
    <w:pPr>
      <w:keepNext/>
      <w:keepLines/>
      <w:spacing w:before="200" w:after="0"/>
      <w:outlineLvl w:val="4"/>
    </w:pPr>
    <w:rPr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8B4"/>
    <w:rPr>
      <w:rFonts w:asciiTheme="majorHAnsi" w:eastAsiaTheme="majorEastAsia" w:hAnsiTheme="majorHAnsi" w:cstheme="majorBidi"/>
      <w:caps/>
      <w:color w:val="632423" w:themeColor="accent2" w:themeShade="80"/>
      <w:spacing w:val="15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438B4"/>
    <w:rPr>
      <w:rFonts w:asciiTheme="majorHAnsi" w:eastAsiaTheme="majorEastAsia" w:hAnsiTheme="majorHAnsi" w:cstheme="majorBidi"/>
      <w:caps/>
      <w:color w:val="622423" w:themeColor="accent2" w:themeShade="7F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F438B4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lang w:val="en-US" w:bidi="en-US"/>
    </w:rPr>
  </w:style>
  <w:style w:type="character" w:styleId="a3">
    <w:name w:val="Hyperlink"/>
    <w:basedOn w:val="a0"/>
    <w:uiPriority w:val="99"/>
    <w:unhideWhenUsed/>
    <w:rsid w:val="00F438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38B4"/>
    <w:pPr>
      <w:ind w:firstLine="0"/>
    </w:pPr>
    <w:rPr>
      <w:rFonts w:asciiTheme="majorHAnsi" w:eastAsiaTheme="majorEastAsia" w:hAnsiTheme="majorHAnsi" w:cstheme="majorBid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8B4"/>
    <w:rPr>
      <w:rFonts w:ascii="Tahoma" w:eastAsiaTheme="majorEastAsi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F438B4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F438B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table" w:styleId="-2">
    <w:name w:val="Light Grid Accent 2"/>
    <w:basedOn w:val="a1"/>
    <w:uiPriority w:val="62"/>
    <w:rsid w:val="00F438B4"/>
    <w:pPr>
      <w:ind w:firstLine="0"/>
    </w:pPr>
    <w:rPr>
      <w:rFonts w:asciiTheme="majorHAnsi" w:eastAsiaTheme="majorEastAsia" w:hAnsiTheme="majorHAnsi" w:cstheme="majorBidi"/>
      <w:sz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F438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38B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38B4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F73DF"/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FRONOV@HSE.RU" TargetMode="External"/><Relationship Id="rId13" Type="http://schemas.openxmlformats.org/officeDocument/2006/relationships/hyperlink" Target="https://www.teachforamerica.org/" TargetMode="External"/><Relationship Id="rId18" Type="http://schemas.openxmlformats.org/officeDocument/2006/relationships/hyperlink" Target="http://www.capetowndeclaration.org/translations/russian-transl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ietzsche.ru/influence/philosophie/fukuama/" TargetMode="External"/><Relationship Id="rId7" Type="http://schemas.openxmlformats.org/officeDocument/2006/relationships/hyperlink" Target="mailto:szair-bek@hse.ru" TargetMode="External"/><Relationship Id="rId12" Type="http://schemas.openxmlformats.org/officeDocument/2006/relationships/hyperlink" Target="http://expert.ru/russian_reporter/2013/34/shkola-zavtra-nenuzhna/" TargetMode="External"/><Relationship Id="rId17" Type="http://schemas.openxmlformats.org/officeDocument/2006/relationships/hyperlink" Target="http://unesdoc.unesco.org/images/0023/002310/231074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events/literacy/dakar.htm" TargetMode="External"/><Relationship Id="rId20" Type="http://schemas.openxmlformats.org/officeDocument/2006/relationships/hyperlink" Target="http://www.pravmir.ru/aleksandr-privalov-obrazovanie-pogibl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heoryandpractice.ru/posts/4063-kakim-budet-obrazovanie-v-2060-godu-prognoz-salmana-khan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rana-oz.ru/2012/4/shkoly-kotorym-mozhno-pozavidov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tainme.ru/post/obrazovanie-2025-prognoz-vshe-i-strelki/" TargetMode="External"/><Relationship Id="rId19" Type="http://schemas.openxmlformats.org/officeDocument/2006/relationships/hyperlink" Target="http://www.cisr.ru/files/publ/qual_method_cov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knowledge.worldbank.org/handle/10986/16092" TargetMode="External"/><Relationship Id="rId14" Type="http://schemas.openxmlformats.org/officeDocument/2006/relationships/hyperlink" Target="http://www.strana-oz.ru/2012/4/kak-nado-i-kak-ne-nado-uluchshat-nashi-shkoly" TargetMode="External"/><Relationship Id="rId22" Type="http://schemas.openxmlformats.org/officeDocument/2006/relationships/hyperlink" Target="http://www.lib.ru/RUSSLIT/PANTELEEW/respublikashkid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D80A-30C9-4A13-B1CF-B03F5223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Пользователь Windows</cp:lastModifiedBy>
  <cp:revision>3</cp:revision>
  <cp:lastPrinted>2016-10-14T12:37:00Z</cp:lastPrinted>
  <dcterms:created xsi:type="dcterms:W3CDTF">2016-10-14T12:21:00Z</dcterms:created>
  <dcterms:modified xsi:type="dcterms:W3CDTF">2016-10-14T12:38:00Z</dcterms:modified>
</cp:coreProperties>
</file>