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msscuocld4rb" w:id="0"/>
      <w:bookmarkEnd w:id="0"/>
      <w:r w:rsidDel="00000000" w:rsidR="00000000" w:rsidRPr="00000000">
        <w:rPr>
          <w:rtl w:val="0"/>
        </w:rPr>
        <w:t xml:space="preserve">Проектная модель МИЭМ и ее внедрение в 2019-20 учебном году в проектах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2019-20 учебном году в МИЭМ проектная работа проводилась в создаваемой для поддержки создаваемой проектной модели инструментальной среде. Ниже кратко описывается практика применения и основные положения проектной модели.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Для проведения проектов мной была предложена адаптированная методика разработки программного обеспечения Basecamp ShapeUp. В адаптированном к календарю НИУ ВШЭ виде методика предложена студентам и руководителям проектов и за прошедший год были проведены более 160 проектов,  а также разработана система управления проектами на базе существующих сервисов и программных инструментов, а также сервисов, разрабатываемых в МИЭМ.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Суть методики, применявшейся в МИЭМ: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Календарь учебного года разделяется на циклы. Проект, конечно, имеет техническое задание, описанное в форме, которую руководитель считает достаточной, но в каждом цикле задачи могут быть скорректированы.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Циклы в некотором смысле атомарны. Задачи ставятся на цикл, в конце подводится итог: достигнуты ли задачи цикла? Руководитель принимает решение: если цикл оправдал ожидания (задачи выполнены), то наработанные результаты принимаются в проекте, трудозатраты засчитываются. Если цикл не засчитан, то трудозатраты не зачитываются. Наработанные результаты считаются “браком” в точки зрения проекта (но не образовательного результата) и на следующий цикл составляются новые задачи с учетом выявленных на предыдущем этапе проблем.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Каждый цикл состоит из двух этапов: одна неделя на постановку задач и формирование коллектива (если требуется доукомплектование), а также на отчетность за предыдущий цикл, следующие три -- на разработку. Итоги цикла должны быть задокументированы и внедрены в проект. Это не всегда возможно, но к этому нужно стремиться. Для самооценки рассматривается ситуация, когда все исполнители посреди проекта покинули проект -- сможет ли вновь набранная команда продолжить разработку с того же места?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трекинговом сервисе (используется Trello) добавлены поля учета трудозатрат. Каждая задача оценивается в часах и руководитель, принимая задачу, подтверждает начисление студенту указанных часов, из них составляются заработанные студентом кредиты.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том же Trello специально написанный чат-бот собирает отчетность с каждого участника. Исполнители (студенты) указывают, согласны ли они продолжить работу в следующем цикле и пишут, как им работалось с руководителем, а руковоители дают зеркальный отзыв исполнителям, а также пишут план на цикл и подводят итоги предыдущего (как бинарные -- зачтен/не зачтен, так и описательные).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отзывы, планы и итоги собираются в базе данных цифрового следа и выводятся на странице проекта в специально созданном для работы с проектами сервисе.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Руководитель почти не принимает участия в оценке работы студентов -- это задача комиссии, но руководитель пишет отзыв. Задача руководителя -- довести проект до результата, обеспечив исполнителей задачами, профильными их образовательной программе. В проектах приветствуется участие студентов разных образовательных программ и разных курсов, это позволяет расширить охват задач и по сложности, и по тематике, а также обеспечивает устойчивость проектов при их продлении на следующий год.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Студенты могут принимать участие в нескольких проектах, при этом, возможна как постоянная занятость (аналог устройства в штат), так и аутсорсинг (аналог договорных работ ГПХ). Студенты, для которых проект стоит в учебном плане, обязаны записаться хотя бы в один проект, иначе они не попадут в приказ. В каждом из проектов, где участвует студент, он “зарабатывает часы”. Чтобы зачесть эти часы в учебном плане, нужно защитить их на комиссии. То есть, в случае, когда студент набрал свои часы в нескольких проектах, он участвует в защитах тех проектов, где он хочет получить свои часы.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студент не набрал нужного ему (согласно учебному плану) количества кредитов (часов), по итогу защиты проекта ему зачитывают столько кредитов, сколько часов он набрал (1 кредит = 38 часов), округляя кредиты до целых. </w:t>
        <w:br w:type="textWrapping"/>
        <w:t xml:space="preserve">Если студент набрал больше часов, чем предписано учебным планом, избыточные кредиты записываются как факультатив с названием проекта, который принес студенту избыточные кредиты. Предельное количество таких часов регламентируется общими правилами зачета кредитов НИУ ВШЭ (не более +20 к обязательным 240 за четыре года для бакалавров).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Каждый проект проходил три публичных представления:  защиту концепции проекта (октябрь-ноябрь), постерную сессию (январь) и защиту (апрель). Отобраннные лучшие проекты участвовали в Техношоу МИЭМ. Эти форматы представления проектов были опробованы в прошлом учебном году и изменились в этом году незначительно -- защиты и техношоу переведены в онлайн-формат из-за карантина.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Это общее описание практики применения циклической проектной модели обучения, примененной в МИЭМ в 2019/20 уч. году. На основе полученного опыта создается уточненная модель проектного обучения, включающая больше деталей и параметров -- учет ресурсного обеспечения, вложенности и взаимозависимости проектов и т.д.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Не все нюансы ведения проектов были широко применены. Так, атомарность циклов редко воспринималась руководителями всерьез, но наличие промежуточных публичных представлений помогало мобилизовать работу и сделать ее более равномерной в течение года.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Очевидно, что проведение более 160 одновременных проектов невозможно представить без автоматизации мониторинга происходящего в проектах. Для этого использовались данные трекинга (Trello), мониторинга программных репозиториев (Gitlab), собираемые в цифровой след и отображаемые в кабинете проекта. В итоге проектный офис в составе двух человек мог видеть все “выпадающие” проекты и своевременно решать возникающие проблемы.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МИЭМ будет далее развивать и модель, и методику ее применения, и инструментальную среду.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Далее прикладываю материалы, которые предлагались руководителям и студентам: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5118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1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Рис. 1. Календарь проектной работы МИЭМ (2019-20 учебный год).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Этот календарь включал 7 циклов -- на время проведения типовых проектов. Практика показала, что работы во внедренных проектах не останавливаются и после защит, продолжаются и летом: идет развитие, поддержка, пишутся новые версии. Поэтому для следующего учебного года мною был предложен более универсальный календарь: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1021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0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Рис. 2. Календарь 2020-21 учебного года.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43200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Рис. 3. Устройство проектного цикла.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На примере одного из проектов могу показать, как выглядит мониторинг проекта: эта информация показывается всем пользователям МИЭМ, т.е. руководитель, исполнители и администрация видят эту картину: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3782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Рис.4. Отражение хода работы по данным системы мониторинга проектов в кабинете проектов: данные из Trello и Gitlab.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1200" cy="37846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Рис. 5. Динамика и итоги работы исполнителей в проекте по трудозатратам.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464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4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Рис. 6. Итоги циклов, отображаемые в кабинете проектной работы.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Кабинет проектной работы дакже представляет обобщенную по проектам картину для проектного офиса и администрации. Это позволяет выявить отклонения и своевременно отреагировать.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337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Рис. 7. Статистика проектов (один из видов).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9730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Рис. 8. Карточка Trello с дополнительными полями отчетности.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Для корректного учета трудозатрат используется не только расширенный при помощи плагина интерфейс Trello, но и бот, который проверяет, имеет ли пользователь полномочия принимать работу. Так, если отметку о выполнении поставит не-руководитель, то отметка будет снята, а в комментарии бот напишет, что действие некорректное, такие отметки может ставить только руководитель.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При этом, численное значение трудозатрат может вводить кто угодно. Принимая работу (отмечая карточку как выполненную) руководитель подтверждает корректность введенного значения -- именно оно будет зачтено всем, кто указан в исполнителях в карточке.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Д. А. Королев, доцент ДКИ МИЭМ НИУ ВШЭ.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